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91B0C" w14:textId="77777777" w:rsidR="009775A0" w:rsidRDefault="009775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4"/>
        <w:gridCol w:w="2791"/>
      </w:tblGrid>
      <w:tr w:rsidR="00C90776" w:rsidRPr="00C90776" w14:paraId="40FD7664" w14:textId="77777777" w:rsidTr="00C90776">
        <w:trPr>
          <w:trHeight w:val="1812"/>
        </w:trPr>
        <w:tc>
          <w:tcPr>
            <w:tcW w:w="6754" w:type="dxa"/>
          </w:tcPr>
          <w:p w14:paraId="7C5B137F" w14:textId="6F6D5931" w:rsidR="00C90776" w:rsidRDefault="00C90776" w:rsidP="005E3918">
            <w:pPr>
              <w:rPr>
                <w:rFonts w:ascii="Helvetica" w:hAnsi="Helvetica" w:cs="Calibri"/>
              </w:rPr>
            </w:pPr>
            <w:r>
              <w:rPr>
                <w:noProof/>
                <w:lang w:eastAsia="en-US"/>
              </w:rPr>
              <w:drawing>
                <wp:inline distT="0" distB="0" distL="0" distR="0" wp14:anchorId="5103ADE7" wp14:editId="1C29861E">
                  <wp:extent cx="3825875" cy="978156"/>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1645" cy="979631"/>
                          </a:xfrm>
                          <a:prstGeom prst="rect">
                            <a:avLst/>
                          </a:prstGeom>
                          <a:noFill/>
                          <a:ln>
                            <a:noFill/>
                          </a:ln>
                        </pic:spPr>
                      </pic:pic>
                    </a:graphicData>
                  </a:graphic>
                </wp:inline>
              </w:drawing>
            </w:r>
          </w:p>
        </w:tc>
        <w:tc>
          <w:tcPr>
            <w:tcW w:w="2791" w:type="dxa"/>
          </w:tcPr>
          <w:p w14:paraId="0D745C6A" w14:textId="77777777" w:rsidR="00C90776" w:rsidRPr="00C90776" w:rsidRDefault="00C90776" w:rsidP="00C90776">
            <w:pPr>
              <w:jc w:val="right"/>
              <w:rPr>
                <w:rFonts w:ascii="Copperplate Gothic Light" w:hAnsi="Copperplate Gothic Light"/>
                <w:color w:val="0000FF"/>
                <w:sz w:val="18"/>
                <w:szCs w:val="18"/>
              </w:rPr>
            </w:pPr>
          </w:p>
          <w:p w14:paraId="35B7B3EC" w14:textId="2381E46F" w:rsidR="00C90776" w:rsidRPr="00C90776" w:rsidRDefault="00C90776" w:rsidP="00C90776">
            <w:pPr>
              <w:jc w:val="right"/>
              <w:rPr>
                <w:rFonts w:ascii="Copperplate Gothic Light" w:hAnsi="Copperplate Gothic Light"/>
                <w:color w:val="0000AD"/>
                <w:sz w:val="18"/>
                <w:szCs w:val="18"/>
              </w:rPr>
            </w:pPr>
            <w:r w:rsidRPr="00C90776">
              <w:rPr>
                <w:rFonts w:ascii="Copperplate Gothic Light" w:hAnsi="Copperplate Gothic Light"/>
                <w:color w:val="0000AD"/>
                <w:sz w:val="18"/>
                <w:szCs w:val="18"/>
              </w:rPr>
              <w:t>3407 S. J</w:t>
            </w:r>
            <w:r w:rsidR="00997774">
              <w:rPr>
                <w:rFonts w:ascii="Copperplate Gothic Light" w:hAnsi="Copperplate Gothic Light"/>
                <w:color w:val="0000AD"/>
                <w:sz w:val="18"/>
                <w:szCs w:val="18"/>
              </w:rPr>
              <w:t>efferson</w:t>
            </w:r>
          </w:p>
          <w:p w14:paraId="637E2492" w14:textId="77777777" w:rsidR="00C90776" w:rsidRPr="00C90776" w:rsidRDefault="00C90776" w:rsidP="00C90776">
            <w:pPr>
              <w:jc w:val="right"/>
              <w:rPr>
                <w:rFonts w:ascii="Copperplate Gothic Light" w:hAnsi="Copperplate Gothic Light"/>
                <w:color w:val="0000AD"/>
                <w:sz w:val="18"/>
                <w:szCs w:val="18"/>
              </w:rPr>
            </w:pPr>
            <w:r w:rsidRPr="00C90776">
              <w:rPr>
                <w:rFonts w:ascii="Copperplate Gothic Light" w:hAnsi="Copperplate Gothic Light"/>
                <w:color w:val="0000AD"/>
                <w:sz w:val="18"/>
                <w:szCs w:val="18"/>
              </w:rPr>
              <w:t>St. Louis, MO 63118</w:t>
            </w:r>
          </w:p>
          <w:p w14:paraId="794DEBF2" w14:textId="77777777" w:rsidR="00C90776" w:rsidRPr="00C90776" w:rsidRDefault="00C90776" w:rsidP="00C90776">
            <w:pPr>
              <w:jc w:val="right"/>
              <w:rPr>
                <w:rFonts w:ascii="Copperplate Gothic Light" w:hAnsi="Copperplate Gothic Light"/>
                <w:color w:val="0000AD"/>
                <w:sz w:val="18"/>
                <w:szCs w:val="18"/>
              </w:rPr>
            </w:pPr>
            <w:r w:rsidRPr="00C90776">
              <w:rPr>
                <w:rFonts w:ascii="Copperplate Gothic Light" w:hAnsi="Copperplate Gothic Light"/>
                <w:color w:val="0000AD"/>
                <w:sz w:val="18"/>
                <w:szCs w:val="18"/>
              </w:rPr>
              <w:t>314.556.7379</w:t>
            </w:r>
          </w:p>
          <w:p w14:paraId="3D61AD3B" w14:textId="77777777" w:rsidR="00C90776" w:rsidRPr="00C90776" w:rsidRDefault="00C90776" w:rsidP="00C90776">
            <w:pPr>
              <w:jc w:val="right"/>
              <w:rPr>
                <w:rFonts w:ascii="Copperplate Gothic Light" w:hAnsi="Copperplate Gothic Light"/>
                <w:color w:val="0000AD"/>
                <w:sz w:val="18"/>
                <w:szCs w:val="18"/>
              </w:rPr>
            </w:pPr>
            <w:r w:rsidRPr="00C90776">
              <w:rPr>
                <w:rFonts w:ascii="Copperplate Gothic Light" w:hAnsi="Copperplate Gothic Light"/>
                <w:color w:val="0000AD"/>
                <w:sz w:val="18"/>
                <w:szCs w:val="18"/>
              </w:rPr>
              <w:t>cara@moconsumers.org</w:t>
            </w:r>
          </w:p>
          <w:p w14:paraId="4D07D830" w14:textId="673F9642" w:rsidR="00C90776" w:rsidRPr="00C90776" w:rsidRDefault="00C90776" w:rsidP="00C90776">
            <w:pPr>
              <w:jc w:val="right"/>
              <w:rPr>
                <w:rFonts w:ascii="Copperplate Gothic Light" w:hAnsi="Copperplate Gothic Light" w:cs="Calibri"/>
                <w:color w:val="0000FF"/>
              </w:rPr>
            </w:pPr>
            <w:proofErr w:type="gramStart"/>
            <w:r w:rsidRPr="00C90776">
              <w:rPr>
                <w:rFonts w:ascii="Copperplate Gothic Light" w:hAnsi="Copperplate Gothic Light"/>
                <w:color w:val="0000AD"/>
                <w:sz w:val="18"/>
                <w:szCs w:val="18"/>
              </w:rPr>
              <w:t>moconsumers.org</w:t>
            </w:r>
            <w:proofErr w:type="gramEnd"/>
          </w:p>
        </w:tc>
      </w:tr>
    </w:tbl>
    <w:p w14:paraId="13B4AF84" w14:textId="77777777" w:rsidR="00CD7CEF" w:rsidRDefault="00CD7CEF" w:rsidP="00DC2682">
      <w:pPr>
        <w:rPr>
          <w:rFonts w:ascii="Helvetica" w:hAnsi="Helvetica" w:cs="Calibri"/>
        </w:rPr>
      </w:pPr>
    </w:p>
    <w:p w14:paraId="476361A5" w14:textId="1FC501E8" w:rsidR="009775A0" w:rsidRDefault="009775A0" w:rsidP="009775A0">
      <w:pPr>
        <w:suppressAutoHyphens/>
        <w:spacing w:after="240" w:line="276" w:lineRule="auto"/>
        <w:jc w:val="center"/>
        <w:rPr>
          <w:rFonts w:ascii="Times New Roman" w:hAnsi="Times New Roman" w:cs="Times New Roman"/>
        </w:rPr>
      </w:pPr>
      <w:r w:rsidRPr="00933E6D">
        <w:rPr>
          <w:rFonts w:ascii="Times New Roman" w:hAnsi="Times New Roman" w:cs="Times New Roman"/>
        </w:rPr>
        <w:t xml:space="preserve">September </w:t>
      </w:r>
      <w:r w:rsidR="005F3ADB">
        <w:rPr>
          <w:rFonts w:ascii="Times New Roman" w:hAnsi="Times New Roman" w:cs="Times New Roman"/>
        </w:rPr>
        <w:t>25</w:t>
      </w:r>
      <w:bookmarkStart w:id="0" w:name="_GoBack"/>
      <w:bookmarkEnd w:id="0"/>
      <w:r w:rsidRPr="00933E6D">
        <w:rPr>
          <w:rFonts w:ascii="Times New Roman" w:hAnsi="Times New Roman" w:cs="Times New Roman"/>
        </w:rPr>
        <w:t>, 2017</w:t>
      </w:r>
    </w:p>
    <w:p w14:paraId="4AA5E2C3" w14:textId="77777777" w:rsidR="009775A0" w:rsidRDefault="009775A0" w:rsidP="009775A0">
      <w:pPr>
        <w:suppressAutoHyphens/>
        <w:spacing w:after="240" w:line="276" w:lineRule="auto"/>
        <w:jc w:val="center"/>
        <w:rPr>
          <w:rFonts w:ascii="Times New Roman" w:hAnsi="Times New Roman" w:cs="Times New Roman"/>
          <w:b/>
        </w:rPr>
      </w:pPr>
      <w:r w:rsidRPr="000F007C">
        <w:rPr>
          <w:rFonts w:ascii="Times New Roman" w:hAnsi="Times New Roman" w:cs="Times New Roman"/>
          <w:b/>
        </w:rPr>
        <w:t>Comments on Individual Market (On-Exchange) Rate Filings of Cigna Health and Life Company, HIOS Issuer ID #74483, Proposed Effective Date Jan. 1, 2018</w:t>
      </w:r>
    </w:p>
    <w:p w14:paraId="58F93B4A" w14:textId="77777777" w:rsidR="009775A0" w:rsidRPr="000F007C" w:rsidRDefault="009775A0" w:rsidP="009775A0">
      <w:pPr>
        <w:suppressAutoHyphens/>
        <w:spacing w:after="240" w:line="276" w:lineRule="auto"/>
        <w:rPr>
          <w:rFonts w:ascii="Times New Roman" w:hAnsi="Times New Roman" w:cs="Times New Roman"/>
          <w:b/>
        </w:rPr>
      </w:pPr>
      <w:r w:rsidRPr="000F007C">
        <w:rPr>
          <w:rFonts w:ascii="Times New Roman" w:hAnsi="Times New Roman" w:cs="Times New Roman"/>
          <w:b/>
        </w:rPr>
        <w:t>I. Introduction</w:t>
      </w:r>
    </w:p>
    <w:p w14:paraId="6C6467A9" w14:textId="77777777" w:rsidR="009775A0" w:rsidRPr="000F007C" w:rsidRDefault="009775A0" w:rsidP="009775A0">
      <w:pPr>
        <w:suppressAutoHyphens/>
        <w:spacing w:line="480" w:lineRule="auto"/>
        <w:rPr>
          <w:rFonts w:ascii="Times New Roman" w:hAnsi="Times New Roman" w:cs="Times New Roman"/>
        </w:rPr>
      </w:pPr>
      <w:r w:rsidRPr="000F007C">
        <w:rPr>
          <w:rFonts w:ascii="Times New Roman" w:hAnsi="Times New Roman" w:cs="Times New Roman"/>
          <w:b/>
        </w:rPr>
        <w:tab/>
      </w:r>
      <w:r w:rsidRPr="000F007C">
        <w:rPr>
          <w:rFonts w:ascii="Times New Roman" w:hAnsi="Times New Roman" w:cs="Times New Roman"/>
        </w:rPr>
        <w:t xml:space="preserve">Cigna Health and Life Insurance Company (“Cigna”) has made an application to the Missouri Department of Insurance (“the Department”) to increase its rates, on average, by 35.0% for the 2018 year. At the individual plan level, Cigna </w:t>
      </w:r>
      <w:r>
        <w:rPr>
          <w:rFonts w:ascii="Times New Roman" w:hAnsi="Times New Roman" w:cs="Times New Roman"/>
        </w:rPr>
        <w:t xml:space="preserve">has </w:t>
      </w:r>
      <w:r w:rsidRPr="000F007C">
        <w:rPr>
          <w:rFonts w:ascii="Times New Roman" w:hAnsi="Times New Roman" w:cs="Times New Roman"/>
        </w:rPr>
        <w:t>propose</w:t>
      </w:r>
      <w:r>
        <w:rPr>
          <w:rFonts w:ascii="Times New Roman" w:hAnsi="Times New Roman" w:cs="Times New Roman"/>
        </w:rPr>
        <w:t>d</w:t>
      </w:r>
      <w:r w:rsidRPr="000F007C">
        <w:rPr>
          <w:rFonts w:ascii="Times New Roman" w:hAnsi="Times New Roman" w:cs="Times New Roman"/>
        </w:rPr>
        <w:t xml:space="preserve"> to increase rates between 17.06% and 72.51%.  This change will affect approximately 83,760 people in Missouri. </w:t>
      </w:r>
    </w:p>
    <w:p w14:paraId="62E9C02B" w14:textId="77777777" w:rsidR="009775A0" w:rsidRDefault="009775A0" w:rsidP="009775A0">
      <w:pPr>
        <w:suppressAutoHyphens/>
        <w:spacing w:line="480" w:lineRule="auto"/>
        <w:ind w:firstLine="720"/>
        <w:rPr>
          <w:rFonts w:ascii="Times New Roman" w:hAnsi="Times New Roman" w:cs="Times New Roman"/>
        </w:rPr>
      </w:pPr>
      <w:r w:rsidRPr="000F007C">
        <w:rPr>
          <w:rFonts w:ascii="Times New Roman" w:hAnsi="Times New Roman" w:cs="Times New Roman"/>
        </w:rPr>
        <w:t xml:space="preserve">We urge the Department to exercise its authority under Mo. Rev. Stat. § 376.465.10(4) and deem Cigna’s rates unreasonable </w:t>
      </w:r>
      <w:r>
        <w:rPr>
          <w:rFonts w:ascii="Times New Roman" w:hAnsi="Times New Roman" w:cs="Times New Roman"/>
        </w:rPr>
        <w:t>absent further justification</w:t>
      </w:r>
      <w:r w:rsidRPr="000F007C">
        <w:rPr>
          <w:rFonts w:ascii="Times New Roman" w:hAnsi="Times New Roman" w:cs="Times New Roman"/>
        </w:rPr>
        <w:t xml:space="preserve">. </w:t>
      </w:r>
      <w:r w:rsidRPr="000F007C" w:rsidDel="00A46678">
        <w:rPr>
          <w:rFonts w:ascii="Times New Roman" w:hAnsi="Times New Roman" w:cs="Times New Roman"/>
        </w:rPr>
        <w:t xml:space="preserve"> </w:t>
      </w:r>
      <w:r w:rsidRPr="000F007C">
        <w:rPr>
          <w:rFonts w:ascii="Times New Roman" w:hAnsi="Times New Roman" w:cs="Times New Roman"/>
        </w:rPr>
        <w:t xml:space="preserve">Cigna inappropriately redacted or entirely </w:t>
      </w:r>
      <w:r>
        <w:rPr>
          <w:rFonts w:ascii="Times New Roman" w:hAnsi="Times New Roman" w:cs="Times New Roman"/>
        </w:rPr>
        <w:t>omitted</w:t>
      </w:r>
      <w:r w:rsidRPr="000F007C">
        <w:rPr>
          <w:rFonts w:ascii="Times New Roman" w:hAnsi="Times New Roman" w:cs="Times New Roman"/>
        </w:rPr>
        <w:t xml:space="preserve"> several fundamental assumptions from its filing, thus impeding the public’s ability to provide meaningful comments and the Department’s ability to critically analyze the proposed rate increases.  Moreover, Cigna did not clearly explain how the assumptions it made regarding the elements of the rate filing will result in a 35.0% average increase. We are particularly concerned that Cigna’s proposed rate increases fail to account for regulatory changes set forth in the revised Market Stabilization Rule that Cigna </w:t>
      </w:r>
      <w:r>
        <w:rPr>
          <w:rFonts w:ascii="Times New Roman" w:hAnsi="Times New Roman" w:cs="Times New Roman"/>
        </w:rPr>
        <w:t>and other issuers</w:t>
      </w:r>
      <w:r w:rsidRPr="000F007C">
        <w:rPr>
          <w:rFonts w:ascii="Times New Roman" w:hAnsi="Times New Roman" w:cs="Times New Roman"/>
        </w:rPr>
        <w:t xml:space="preserve"> projected would reduce its costs in 2018. </w:t>
      </w:r>
    </w:p>
    <w:p w14:paraId="3C7E228A" w14:textId="77777777" w:rsidR="009775A0" w:rsidRPr="000F007C" w:rsidRDefault="009775A0" w:rsidP="009775A0">
      <w:pPr>
        <w:suppressAutoHyphens/>
        <w:spacing w:line="480" w:lineRule="auto"/>
        <w:rPr>
          <w:rFonts w:ascii="Times New Roman" w:hAnsi="Times New Roman" w:cs="Times New Roman"/>
          <w:b/>
        </w:rPr>
      </w:pPr>
      <w:r w:rsidRPr="000F007C">
        <w:rPr>
          <w:rFonts w:ascii="Times New Roman" w:hAnsi="Times New Roman" w:cs="Times New Roman"/>
          <w:b/>
        </w:rPr>
        <w:t>II.  “Significant Factors” Identified by Cigna</w:t>
      </w:r>
    </w:p>
    <w:p w14:paraId="4DFFD7B5" w14:textId="77777777" w:rsidR="009775A0" w:rsidRDefault="009775A0" w:rsidP="009775A0">
      <w:pPr>
        <w:suppressAutoHyphens/>
        <w:spacing w:line="480" w:lineRule="auto"/>
        <w:rPr>
          <w:rFonts w:ascii="Times New Roman" w:eastAsia="Times New Roman" w:hAnsi="Times New Roman" w:cs="Times New Roman"/>
          <w:shd w:val="clear" w:color="auto" w:fill="FFFFFF"/>
        </w:rPr>
      </w:pPr>
      <w:r w:rsidRPr="000F007C">
        <w:rPr>
          <w:rFonts w:ascii="Times New Roman" w:hAnsi="Times New Roman" w:cs="Times New Roman"/>
        </w:rPr>
        <w:tab/>
        <w:t>In Parts II and III of its rate filing</w:t>
      </w:r>
      <w:r w:rsidRPr="000F007C">
        <w:rPr>
          <w:rFonts w:ascii="Times New Roman" w:eastAsia="Times New Roman" w:hAnsi="Times New Roman" w:cs="Times New Roman"/>
          <w:shd w:val="clear" w:color="auto" w:fill="FFFFFF"/>
        </w:rPr>
        <w:t>—</w:t>
      </w:r>
      <w:r w:rsidRPr="000F007C">
        <w:rPr>
          <w:rFonts w:ascii="Times New Roman" w:hAnsi="Times New Roman" w:cs="Times New Roman"/>
        </w:rPr>
        <w:t>the Written Description Justifying the Rate Increase and the Actuarial Memorandum, respectively</w:t>
      </w:r>
      <w:r w:rsidRPr="000F007C">
        <w:rPr>
          <w:rFonts w:ascii="Times New Roman" w:eastAsia="Times New Roman" w:hAnsi="Times New Roman" w:cs="Times New Roman"/>
          <w:shd w:val="clear" w:color="auto" w:fill="FFFFFF"/>
        </w:rPr>
        <w:t>—Cigna identified four significant factors behind its proposed rate increase.  Despite highlighting the importance of these factors, Cigna’s explanations of why they contribute to a 35.0% average rate increase are lacking.</w:t>
      </w:r>
    </w:p>
    <w:p w14:paraId="537318FC" w14:textId="77777777" w:rsidR="0098558C" w:rsidRDefault="0098558C" w:rsidP="009775A0">
      <w:pPr>
        <w:suppressAutoHyphens/>
        <w:spacing w:line="480" w:lineRule="auto"/>
        <w:rPr>
          <w:rFonts w:ascii="Times New Roman" w:eastAsia="Times New Roman" w:hAnsi="Times New Roman" w:cs="Times New Roman"/>
          <w:shd w:val="clear" w:color="auto" w:fill="FFFFFF"/>
        </w:rPr>
      </w:pPr>
    </w:p>
    <w:p w14:paraId="3BFF1BE7" w14:textId="77777777" w:rsidR="0098558C" w:rsidRDefault="0098558C" w:rsidP="009775A0">
      <w:pPr>
        <w:suppressAutoHyphens/>
        <w:spacing w:line="480" w:lineRule="auto"/>
        <w:rPr>
          <w:rFonts w:ascii="Times New Roman" w:eastAsia="Times New Roman" w:hAnsi="Times New Roman" w:cs="Times New Roman"/>
          <w:shd w:val="clear" w:color="auto" w:fill="FFFFFF"/>
        </w:rPr>
      </w:pPr>
    </w:p>
    <w:p w14:paraId="6B0310D8" w14:textId="77777777" w:rsidR="009775A0" w:rsidRDefault="009775A0" w:rsidP="009775A0">
      <w:pPr>
        <w:suppressAutoHyphens/>
        <w:spacing w:line="480" w:lineRule="auto"/>
        <w:rPr>
          <w:rFonts w:ascii="Times New Roman" w:eastAsia="Times New Roman" w:hAnsi="Times New Roman" w:cs="Times New Roman"/>
          <w:shd w:val="clear" w:color="auto" w:fill="FFFFFF"/>
        </w:rPr>
      </w:pPr>
    </w:p>
    <w:p w14:paraId="6FAA235B" w14:textId="77777777" w:rsidR="009775A0" w:rsidRPr="000F007C" w:rsidRDefault="009775A0" w:rsidP="009775A0">
      <w:pPr>
        <w:suppressAutoHyphens/>
        <w:spacing w:line="480" w:lineRule="auto"/>
        <w:rPr>
          <w:rFonts w:ascii="Times New Roman" w:hAnsi="Times New Roman" w:cs="Times New Roman"/>
        </w:rPr>
      </w:pPr>
    </w:p>
    <w:p w14:paraId="6D1B41AF" w14:textId="77777777" w:rsidR="009775A0" w:rsidRPr="000F007C" w:rsidRDefault="009775A0" w:rsidP="009775A0">
      <w:pPr>
        <w:pStyle w:val="ListParagraph"/>
        <w:numPr>
          <w:ilvl w:val="0"/>
          <w:numId w:val="5"/>
        </w:numPr>
        <w:suppressAutoHyphens/>
        <w:spacing w:line="480" w:lineRule="auto"/>
        <w:rPr>
          <w:rFonts w:ascii="Times New Roman" w:hAnsi="Times New Roman" w:cs="Times New Roman"/>
          <w:u w:val="single"/>
        </w:rPr>
      </w:pPr>
      <w:r w:rsidRPr="000F007C">
        <w:rPr>
          <w:rFonts w:ascii="Times New Roman" w:hAnsi="Times New Roman" w:cs="Times New Roman"/>
          <w:u w:val="single"/>
        </w:rPr>
        <w:t>Medical Trend</w:t>
      </w:r>
    </w:p>
    <w:p w14:paraId="49B3B881" w14:textId="77777777" w:rsidR="009775A0" w:rsidRPr="000F007C" w:rsidRDefault="009775A0" w:rsidP="009775A0">
      <w:pPr>
        <w:suppressAutoHyphens/>
        <w:spacing w:line="480" w:lineRule="auto"/>
        <w:rPr>
          <w:rFonts w:ascii="Times New Roman" w:eastAsia="Times New Roman" w:hAnsi="Times New Roman" w:cs="Times New Roman"/>
        </w:rPr>
      </w:pPr>
      <w:r w:rsidRPr="000F007C">
        <w:rPr>
          <w:rFonts w:ascii="Times New Roman" w:hAnsi="Times New Roman" w:cs="Times New Roman"/>
        </w:rPr>
        <w:tab/>
        <w:t>First, unlike other Missouri issuers, Cigna redacted its expected annual medical cost trend on which its calculations were based from its Actuarial Memorandum.</w:t>
      </w:r>
      <w:r w:rsidRPr="000F007C">
        <w:rPr>
          <w:rStyle w:val="FootnoteReference"/>
          <w:rFonts w:ascii="Times New Roman" w:hAnsi="Times New Roman" w:cs="Times New Roman"/>
        </w:rPr>
        <w:footnoteReference w:id="1"/>
      </w:r>
      <w:r w:rsidRPr="000F007C">
        <w:rPr>
          <w:rFonts w:ascii="Times New Roman" w:hAnsi="Times New Roman" w:cs="Times New Roman"/>
        </w:rPr>
        <w:t xml:space="preserve">  This unnecessary redaction </w:t>
      </w:r>
      <w:r w:rsidRPr="000F007C">
        <w:rPr>
          <w:rFonts w:ascii="Times New Roman" w:eastAsia="Times New Roman" w:hAnsi="Times New Roman" w:cs="Times New Roman"/>
        </w:rPr>
        <w:t xml:space="preserve">undermines the public’s ability to evaluate the overall rate filing.  Cigna’s assumed </w:t>
      </w:r>
      <w:r>
        <w:rPr>
          <w:rFonts w:ascii="Times New Roman" w:eastAsia="Times New Roman" w:hAnsi="Times New Roman" w:cs="Times New Roman"/>
        </w:rPr>
        <w:t xml:space="preserve">overall </w:t>
      </w:r>
      <w:r w:rsidRPr="000F007C">
        <w:rPr>
          <w:rFonts w:ascii="Times New Roman" w:eastAsia="Times New Roman" w:hAnsi="Times New Roman" w:cs="Times New Roman"/>
        </w:rPr>
        <w:t xml:space="preserve">trend should be </w:t>
      </w:r>
      <w:proofErr w:type="spellStart"/>
      <w:r w:rsidRPr="000F007C">
        <w:rPr>
          <w:rFonts w:ascii="Times New Roman" w:eastAsia="Times New Roman" w:hAnsi="Times New Roman" w:cs="Times New Roman"/>
        </w:rPr>
        <w:t>unredacted</w:t>
      </w:r>
      <w:proofErr w:type="spellEnd"/>
      <w:r w:rsidRPr="000F007C">
        <w:rPr>
          <w:rFonts w:ascii="Times New Roman" w:eastAsia="Times New Roman" w:hAnsi="Times New Roman" w:cs="Times New Roman"/>
        </w:rPr>
        <w:t xml:space="preserve"> to allow consumers the opportunity to better understand the reasoning behind Cigna’s proposed rate increase.  </w:t>
      </w:r>
      <w:r>
        <w:rPr>
          <w:rFonts w:ascii="Times New Roman" w:eastAsia="Times New Roman" w:hAnsi="Times New Roman" w:cs="Times New Roman"/>
        </w:rPr>
        <w:t>Medical trend estimates such as this do not constitute trade secrets and, m</w:t>
      </w:r>
      <w:r w:rsidRPr="000F007C">
        <w:rPr>
          <w:rFonts w:ascii="Times New Roman" w:eastAsia="Times New Roman" w:hAnsi="Times New Roman" w:cs="Times New Roman"/>
        </w:rPr>
        <w:t xml:space="preserve">oreover, Cigna’s decision to redact its assumed overall trend factor from its Actuarial Memorandum is </w:t>
      </w:r>
      <w:r>
        <w:rPr>
          <w:rFonts w:ascii="Times New Roman" w:eastAsia="Times New Roman" w:hAnsi="Times New Roman" w:cs="Times New Roman"/>
        </w:rPr>
        <w:t>further unjustifiable</w:t>
      </w:r>
      <w:r w:rsidRPr="000F007C">
        <w:rPr>
          <w:rFonts w:ascii="Times New Roman" w:eastAsia="Times New Roman" w:hAnsi="Times New Roman" w:cs="Times New Roman"/>
        </w:rPr>
        <w:t xml:space="preserve"> given that it included </w:t>
      </w:r>
      <w:proofErr w:type="spellStart"/>
      <w:r w:rsidRPr="000F007C">
        <w:rPr>
          <w:rFonts w:ascii="Times New Roman" w:eastAsia="Times New Roman" w:hAnsi="Times New Roman" w:cs="Times New Roman"/>
        </w:rPr>
        <w:t>unredacted</w:t>
      </w:r>
      <w:proofErr w:type="spellEnd"/>
      <w:r w:rsidRPr="000F007C">
        <w:rPr>
          <w:rFonts w:ascii="Times New Roman" w:eastAsia="Times New Roman" w:hAnsi="Times New Roman" w:cs="Times New Roman"/>
        </w:rPr>
        <w:t xml:space="preserve"> </w:t>
      </w:r>
      <w:r w:rsidRPr="000F007C">
        <w:rPr>
          <w:rFonts w:ascii="Times New Roman" w:hAnsi="Times New Roman" w:cs="Times New Roman"/>
        </w:rPr>
        <w:t xml:space="preserve">“Annualized Trend Factors” (both for cost and utilization) for various benefit categories in one of its supporting documents.  </w:t>
      </w:r>
    </w:p>
    <w:p w14:paraId="44A4A3CB" w14:textId="77777777" w:rsidR="0050243A" w:rsidRDefault="009775A0" w:rsidP="009775A0">
      <w:pPr>
        <w:suppressAutoHyphens/>
        <w:spacing w:line="480" w:lineRule="auto"/>
        <w:rPr>
          <w:rFonts w:ascii="Times New Roman" w:hAnsi="Times New Roman" w:cs="Times New Roman"/>
        </w:rPr>
      </w:pPr>
      <w:r w:rsidRPr="000F007C">
        <w:rPr>
          <w:rFonts w:ascii="Times New Roman" w:hAnsi="Times New Roman" w:cs="Times New Roman"/>
        </w:rPr>
        <w:tab/>
        <w:t xml:space="preserve">Second, Cigna neither explained nor disclosed any of the underlying data or assumptions on which Cigna based its trend calculations for 2018, providing only a generalized summary of the reasoning behind these adjustments.  Other aspects of Cigna’s filing lead us to be concerned that it may </w:t>
      </w:r>
      <w:r>
        <w:rPr>
          <w:rFonts w:ascii="Times New Roman" w:hAnsi="Times New Roman" w:cs="Times New Roman"/>
        </w:rPr>
        <w:t>overestimate</w:t>
      </w:r>
      <w:r w:rsidRPr="000F007C">
        <w:rPr>
          <w:rFonts w:ascii="Times New Roman" w:hAnsi="Times New Roman" w:cs="Times New Roman"/>
        </w:rPr>
        <w:t xml:space="preserve"> trend</w:t>
      </w:r>
      <w:r>
        <w:rPr>
          <w:rFonts w:ascii="Times New Roman" w:hAnsi="Times New Roman" w:cs="Times New Roman"/>
        </w:rPr>
        <w:t>, however</w:t>
      </w:r>
      <w:r w:rsidRPr="000F007C">
        <w:rPr>
          <w:rFonts w:ascii="Times New Roman" w:hAnsi="Times New Roman" w:cs="Times New Roman"/>
        </w:rPr>
        <w:t xml:space="preserve">.  For example, </w:t>
      </w:r>
      <w:r>
        <w:rPr>
          <w:rFonts w:ascii="Times New Roman" w:hAnsi="Times New Roman" w:cs="Times New Roman"/>
        </w:rPr>
        <w:t xml:space="preserve">the </w:t>
      </w:r>
      <w:r w:rsidRPr="000F007C">
        <w:rPr>
          <w:rFonts w:ascii="Times New Roman" w:hAnsi="Times New Roman" w:cs="Times New Roman"/>
        </w:rPr>
        <w:t xml:space="preserve">Written Description </w:t>
      </w:r>
      <w:r>
        <w:rPr>
          <w:rFonts w:ascii="Times New Roman" w:hAnsi="Times New Roman" w:cs="Times New Roman"/>
        </w:rPr>
        <w:t>implies that Cigna</w:t>
      </w:r>
      <w:r w:rsidRPr="000F007C">
        <w:rPr>
          <w:rFonts w:ascii="Times New Roman" w:hAnsi="Times New Roman" w:cs="Times New Roman"/>
        </w:rPr>
        <w:t xml:space="preserve"> is a passive price-taker, forced to accept the prices providers assert without any bargaining power to drive down the cost of care.</w:t>
      </w:r>
      <w:r>
        <w:rPr>
          <w:rFonts w:ascii="Times New Roman" w:hAnsi="Times New Roman" w:cs="Times New Roman"/>
        </w:rPr>
        <w:t xml:space="preserve">  </w:t>
      </w:r>
      <w:r w:rsidRPr="003707D6">
        <w:rPr>
          <w:rFonts w:ascii="Times New Roman" w:hAnsi="Times New Roman" w:cs="Times New Roman"/>
        </w:rPr>
        <w:t xml:space="preserve">Additionally, </w:t>
      </w:r>
      <w:r>
        <w:rPr>
          <w:rFonts w:ascii="Times New Roman" w:hAnsi="Times New Roman" w:cs="Times New Roman"/>
        </w:rPr>
        <w:t xml:space="preserve">although the public cannot see and thus cannot evaluate Cigna’s </w:t>
      </w:r>
      <w:r w:rsidRPr="000F007C">
        <w:rPr>
          <w:rFonts w:ascii="Times New Roman" w:hAnsi="Times New Roman" w:cs="Times New Roman"/>
        </w:rPr>
        <w:t>exp</w:t>
      </w:r>
      <w:r>
        <w:rPr>
          <w:rFonts w:ascii="Times New Roman" w:hAnsi="Times New Roman" w:cs="Times New Roman"/>
        </w:rPr>
        <w:t xml:space="preserve">ected annual medical cost trend, the </w:t>
      </w:r>
      <w:r>
        <w:rPr>
          <w:rFonts w:ascii="Times New Roman" w:eastAsia="Times New Roman" w:hAnsi="Times New Roman" w:cs="Times New Roman"/>
        </w:rPr>
        <w:t>Department should consider</w:t>
      </w:r>
      <w:r w:rsidRPr="003707D6">
        <w:rPr>
          <w:rFonts w:ascii="Times New Roman" w:eastAsia="Times New Roman" w:hAnsi="Times New Roman" w:cs="Times New Roman"/>
        </w:rPr>
        <w:t xml:space="preserve"> that </w:t>
      </w:r>
      <w:proofErr w:type="spellStart"/>
      <w:r w:rsidRPr="003707D6">
        <w:rPr>
          <w:rFonts w:ascii="Times New Roman" w:eastAsia="Times New Roman" w:hAnsi="Times New Roman" w:cs="Times New Roman"/>
        </w:rPr>
        <w:t>Milliman</w:t>
      </w:r>
      <w:proofErr w:type="spellEnd"/>
      <w:r w:rsidRPr="003707D6">
        <w:rPr>
          <w:rFonts w:ascii="Times New Roman" w:eastAsia="Times New Roman" w:hAnsi="Times New Roman" w:cs="Times New Roman"/>
        </w:rPr>
        <w:t xml:space="preserve"> calculated the </w:t>
      </w:r>
      <w:r>
        <w:rPr>
          <w:rFonts w:ascii="Times New Roman" w:eastAsia="Times New Roman" w:hAnsi="Times New Roman" w:cs="Times New Roman"/>
        </w:rPr>
        <w:t xml:space="preserve">2017 </w:t>
      </w:r>
      <w:r w:rsidRPr="003707D6">
        <w:rPr>
          <w:rFonts w:ascii="Times New Roman" w:hAnsi="Times New Roman" w:cs="Times New Roman"/>
        </w:rPr>
        <w:t>countrywide trend to be the 4.3%, the lowest trend has been in 16 years.</w:t>
      </w:r>
      <w:r w:rsidRPr="000F007C">
        <w:rPr>
          <w:rStyle w:val="FootnoteReference"/>
          <w:rFonts w:ascii="Times New Roman" w:hAnsi="Times New Roman" w:cs="Times New Roman"/>
        </w:rPr>
        <w:footnoteReference w:id="2"/>
      </w:r>
      <w:r w:rsidRPr="003707D6">
        <w:rPr>
          <w:rFonts w:ascii="Times New Roman" w:hAnsi="Times New Roman" w:cs="Times New Roman"/>
        </w:rPr>
        <w:t xml:space="preserve">  This reflects a long-term decline in medical trend from more than 10% in the early 2000s to less than 5% today.</w:t>
      </w:r>
      <w:r>
        <w:rPr>
          <w:rStyle w:val="FootnoteReference"/>
          <w:rFonts w:ascii="Times New Roman" w:hAnsi="Times New Roman" w:cs="Times New Roman"/>
        </w:rPr>
        <w:footnoteReference w:id="3"/>
      </w:r>
      <w:r w:rsidRPr="003707D6">
        <w:rPr>
          <w:rFonts w:ascii="Times New Roman" w:hAnsi="Times New Roman" w:cs="Times New Roman"/>
        </w:rPr>
        <w:t xml:space="preserve">  </w:t>
      </w:r>
      <w:r>
        <w:rPr>
          <w:rFonts w:ascii="Times New Roman" w:hAnsi="Times New Roman" w:cs="Times New Roman"/>
        </w:rPr>
        <w:t xml:space="preserve">To the expect Cigna’s trend estimates are higher than </w:t>
      </w:r>
      <w:proofErr w:type="spellStart"/>
      <w:r>
        <w:rPr>
          <w:rFonts w:ascii="Times New Roman" w:hAnsi="Times New Roman" w:cs="Times New Roman"/>
        </w:rPr>
        <w:t>Milliman’s</w:t>
      </w:r>
      <w:proofErr w:type="spellEnd"/>
      <w:r>
        <w:rPr>
          <w:rFonts w:ascii="Times New Roman" w:hAnsi="Times New Roman" w:cs="Times New Roman"/>
        </w:rPr>
        <w:t xml:space="preserve"> it should explain why.  </w:t>
      </w:r>
      <w:r w:rsidRPr="003707D6">
        <w:rPr>
          <w:rFonts w:ascii="Times New Roman" w:hAnsi="Times New Roman" w:cs="Times New Roman"/>
        </w:rPr>
        <w:t xml:space="preserve">For example, Cigna should explain why it is assuming a trend factor of 12.5% for prescription drugs </w:t>
      </w:r>
      <w:r>
        <w:rPr>
          <w:rFonts w:ascii="Times New Roman" w:hAnsi="Times New Roman" w:cs="Times New Roman"/>
        </w:rPr>
        <w:t>given that</w:t>
      </w:r>
      <w:r w:rsidRPr="003707D6">
        <w:rPr>
          <w:rFonts w:ascii="Times New Roman" w:hAnsi="Times New Roman" w:cs="Times New Roman"/>
        </w:rPr>
        <w:t xml:space="preserve"> </w:t>
      </w:r>
      <w:proofErr w:type="spellStart"/>
      <w:r w:rsidRPr="003707D6">
        <w:rPr>
          <w:rFonts w:ascii="Times New Roman" w:hAnsi="Times New Roman" w:cs="Times New Roman"/>
        </w:rPr>
        <w:t>Milliman</w:t>
      </w:r>
      <w:proofErr w:type="spellEnd"/>
      <w:r w:rsidRPr="003707D6">
        <w:rPr>
          <w:rFonts w:ascii="Times New Roman" w:hAnsi="Times New Roman" w:cs="Times New Roman"/>
        </w:rPr>
        <w:t xml:space="preserve"> calculated only a prescription drug cost </w:t>
      </w:r>
    </w:p>
    <w:p w14:paraId="7449FCF2" w14:textId="77777777" w:rsidR="0050243A" w:rsidRDefault="0050243A" w:rsidP="009775A0">
      <w:pPr>
        <w:suppressAutoHyphens/>
        <w:spacing w:line="480" w:lineRule="auto"/>
        <w:rPr>
          <w:rFonts w:ascii="Times New Roman" w:hAnsi="Times New Roman" w:cs="Times New Roman"/>
        </w:rPr>
      </w:pPr>
    </w:p>
    <w:p w14:paraId="5579CEC4" w14:textId="77777777" w:rsidR="0050243A" w:rsidRDefault="0050243A" w:rsidP="009775A0">
      <w:pPr>
        <w:suppressAutoHyphens/>
        <w:spacing w:line="480" w:lineRule="auto"/>
        <w:rPr>
          <w:rFonts w:ascii="Times New Roman" w:hAnsi="Times New Roman" w:cs="Times New Roman"/>
        </w:rPr>
      </w:pPr>
    </w:p>
    <w:p w14:paraId="0EBA164A" w14:textId="7B2C79CF" w:rsidR="009775A0" w:rsidRDefault="009775A0" w:rsidP="009775A0">
      <w:pPr>
        <w:suppressAutoHyphens/>
        <w:spacing w:line="480" w:lineRule="auto"/>
        <w:rPr>
          <w:rFonts w:ascii="Times New Roman" w:hAnsi="Times New Roman" w:cs="Times New Roman"/>
        </w:rPr>
      </w:pPr>
      <w:proofErr w:type="gramStart"/>
      <w:r w:rsidRPr="003707D6">
        <w:rPr>
          <w:rFonts w:ascii="Times New Roman" w:hAnsi="Times New Roman" w:cs="Times New Roman"/>
        </w:rPr>
        <w:t>increase</w:t>
      </w:r>
      <w:proofErr w:type="gramEnd"/>
      <w:r w:rsidRPr="003707D6">
        <w:rPr>
          <w:rFonts w:ascii="Times New Roman" w:hAnsi="Times New Roman" w:cs="Times New Roman"/>
        </w:rPr>
        <w:t xml:space="preserve"> of 8% in 2017 and prescription drug trends have been on the decline since 2015.</w:t>
      </w:r>
      <w:r>
        <w:rPr>
          <w:rStyle w:val="FootnoteReference"/>
          <w:rFonts w:ascii="Times New Roman" w:hAnsi="Times New Roman" w:cs="Times New Roman"/>
        </w:rPr>
        <w:footnoteReference w:id="4"/>
      </w:r>
      <w:r>
        <w:rPr>
          <w:rFonts w:ascii="Times New Roman" w:hAnsi="Times New Roman" w:cs="Times New Roman"/>
        </w:rPr>
        <w:t xml:space="preserve">  </w:t>
      </w:r>
      <w:r w:rsidRPr="003707D6">
        <w:rPr>
          <w:rFonts w:ascii="Times New Roman" w:hAnsi="Times New Roman" w:cs="Times New Roman"/>
        </w:rPr>
        <w:t xml:space="preserve">Of course there </w:t>
      </w:r>
      <w:r>
        <w:rPr>
          <w:rFonts w:ascii="Times New Roman" w:hAnsi="Times New Roman" w:cs="Times New Roman"/>
        </w:rPr>
        <w:t>are</w:t>
      </w:r>
      <w:r w:rsidRPr="003707D6">
        <w:rPr>
          <w:rFonts w:ascii="Times New Roman" w:hAnsi="Times New Roman" w:cs="Times New Roman"/>
        </w:rPr>
        <w:t xml:space="preserve"> market-specific differences that Cigna </w:t>
      </w:r>
      <w:r>
        <w:rPr>
          <w:rFonts w:ascii="Times New Roman" w:hAnsi="Times New Roman" w:cs="Times New Roman"/>
        </w:rPr>
        <w:t xml:space="preserve">presumably took </w:t>
      </w:r>
      <w:r w:rsidRPr="003707D6">
        <w:rPr>
          <w:rFonts w:ascii="Times New Roman" w:hAnsi="Times New Roman" w:cs="Times New Roman"/>
        </w:rPr>
        <w:t xml:space="preserve">into account, but it is not enough to merely </w:t>
      </w:r>
      <w:r>
        <w:rPr>
          <w:rFonts w:ascii="Times New Roman" w:hAnsi="Times New Roman" w:cs="Times New Roman"/>
        </w:rPr>
        <w:t>say</w:t>
      </w:r>
      <w:r w:rsidRPr="003707D6">
        <w:rPr>
          <w:rFonts w:ascii="Times New Roman" w:hAnsi="Times New Roman" w:cs="Times New Roman"/>
        </w:rPr>
        <w:t xml:space="preserve"> that; rather, Cigna</w:t>
      </w:r>
      <w:r>
        <w:rPr>
          <w:rFonts w:ascii="Times New Roman" w:hAnsi="Times New Roman" w:cs="Times New Roman"/>
        </w:rPr>
        <w:t xml:space="preserve">’s should update its filing to </w:t>
      </w:r>
      <w:r w:rsidRPr="003707D6">
        <w:rPr>
          <w:rFonts w:ascii="Times New Roman" w:hAnsi="Times New Roman" w:cs="Times New Roman"/>
        </w:rPr>
        <w:t xml:space="preserve">elaborate on what those differences are so that a consumer and officials can better understand the company’s trend calculations (both in the aggregate and for specific benefit categories) and their impact on the overall rate increase for 2018.  </w:t>
      </w:r>
    </w:p>
    <w:p w14:paraId="13F5DE2A" w14:textId="77777777" w:rsidR="009775A0" w:rsidRPr="003707D6" w:rsidRDefault="009775A0" w:rsidP="009775A0">
      <w:pPr>
        <w:pStyle w:val="ListParagraph"/>
        <w:numPr>
          <w:ilvl w:val="0"/>
          <w:numId w:val="5"/>
        </w:numPr>
        <w:suppressAutoHyphens/>
        <w:spacing w:line="480" w:lineRule="auto"/>
        <w:rPr>
          <w:rFonts w:ascii="Times New Roman" w:hAnsi="Times New Roman" w:cs="Times New Roman"/>
        </w:rPr>
      </w:pPr>
      <w:r w:rsidRPr="003707D6">
        <w:rPr>
          <w:rFonts w:ascii="Times New Roman" w:hAnsi="Times New Roman" w:cs="Times New Roman"/>
          <w:u w:val="single"/>
        </w:rPr>
        <w:t>Morbidity (Risk Pool) Adjustments</w:t>
      </w:r>
    </w:p>
    <w:p w14:paraId="5A58BD75" w14:textId="77777777" w:rsidR="009775A0" w:rsidRPr="000F007C" w:rsidRDefault="009775A0" w:rsidP="009775A0">
      <w:pPr>
        <w:suppressAutoHyphens/>
        <w:spacing w:line="480" w:lineRule="auto"/>
        <w:rPr>
          <w:rFonts w:ascii="Times New Roman" w:hAnsi="Times New Roman" w:cs="Times New Roman"/>
        </w:rPr>
      </w:pPr>
      <w:r w:rsidRPr="000F007C">
        <w:rPr>
          <w:rFonts w:ascii="Times New Roman" w:hAnsi="Times New Roman" w:cs="Times New Roman"/>
        </w:rPr>
        <w:tab/>
        <w:t xml:space="preserve">In its Written Justification, Cigna acknowledged that a number of factors </w:t>
      </w:r>
      <w:proofErr w:type="gramStart"/>
      <w:r w:rsidRPr="000F007C">
        <w:rPr>
          <w:rFonts w:ascii="Times New Roman" w:hAnsi="Times New Roman" w:cs="Times New Roman"/>
        </w:rPr>
        <w:t>can</w:t>
      </w:r>
      <w:proofErr w:type="gramEnd"/>
      <w:r w:rsidRPr="000F007C">
        <w:rPr>
          <w:rFonts w:ascii="Times New Roman" w:hAnsi="Times New Roman" w:cs="Times New Roman"/>
        </w:rPr>
        <w:t xml:space="preserve"> impact the health of its risk pool.  Nonetheless, Cigna failed to offer explanations in its Actuarial Memorandum of how it calculated its morbidity adjustments for 2018 and redacted what little data it did provide.  Although the Actuarial Memorandum </w:t>
      </w:r>
      <w:r>
        <w:rPr>
          <w:rFonts w:ascii="Times New Roman" w:hAnsi="Times New Roman" w:cs="Times New Roman"/>
        </w:rPr>
        <w:t>states that</w:t>
      </w:r>
      <w:r w:rsidRPr="000F007C">
        <w:rPr>
          <w:rFonts w:ascii="Times New Roman" w:hAnsi="Times New Roman" w:cs="Times New Roman"/>
        </w:rPr>
        <w:t xml:space="preserve"> “external factors such as the strength of the individual mandate, overall awareness of Individual health insurance products, and the presence or absence of transitional policies” can affect average morbidity, it does not disclose how Cigna actually w</w:t>
      </w:r>
      <w:r>
        <w:rPr>
          <w:rFonts w:ascii="Times New Roman" w:hAnsi="Times New Roman" w:cs="Times New Roman"/>
        </w:rPr>
        <w:t>eighed these different factors nor Cigna’s</w:t>
      </w:r>
      <w:r w:rsidRPr="000F007C">
        <w:rPr>
          <w:rFonts w:ascii="Times New Roman" w:hAnsi="Times New Roman" w:cs="Times New Roman"/>
        </w:rPr>
        <w:t xml:space="preserve"> reasoning behind such weights.</w:t>
      </w:r>
      <w:r>
        <w:rPr>
          <w:rStyle w:val="FootnoteReference"/>
          <w:rFonts w:ascii="Times New Roman" w:hAnsi="Times New Roman" w:cs="Times New Roman"/>
        </w:rPr>
        <w:footnoteReference w:id="5"/>
      </w:r>
      <w:r w:rsidRPr="000F007C">
        <w:rPr>
          <w:rFonts w:ascii="Times New Roman" w:hAnsi="Times New Roman" w:cs="Times New Roman"/>
        </w:rPr>
        <w:t xml:space="preserve">  </w:t>
      </w:r>
      <w:r>
        <w:rPr>
          <w:rFonts w:ascii="Times New Roman" w:hAnsi="Times New Roman" w:cs="Times New Roman"/>
        </w:rPr>
        <w:t>Another</w:t>
      </w:r>
      <w:r w:rsidRPr="000F007C">
        <w:rPr>
          <w:rFonts w:ascii="Times New Roman" w:hAnsi="Times New Roman" w:cs="Times New Roman"/>
        </w:rPr>
        <w:t xml:space="preserve"> particularly troubling</w:t>
      </w:r>
      <w:r>
        <w:rPr>
          <w:rFonts w:ascii="Times New Roman" w:hAnsi="Times New Roman" w:cs="Times New Roman"/>
        </w:rPr>
        <w:t xml:space="preserve"> omission is the absence of any</w:t>
      </w:r>
      <w:r w:rsidRPr="000F007C">
        <w:rPr>
          <w:rFonts w:ascii="Times New Roman" w:hAnsi="Times New Roman" w:cs="Times New Roman"/>
        </w:rPr>
        <w:t xml:space="preserve"> indicat</w:t>
      </w:r>
      <w:r>
        <w:rPr>
          <w:rFonts w:ascii="Times New Roman" w:hAnsi="Times New Roman" w:cs="Times New Roman"/>
        </w:rPr>
        <w:t>ion of whether Cigna</w:t>
      </w:r>
      <w:r w:rsidRPr="000F007C">
        <w:rPr>
          <w:rFonts w:ascii="Times New Roman" w:hAnsi="Times New Roman" w:cs="Times New Roman"/>
        </w:rPr>
        <w:t xml:space="preserve"> expects to receive a risk-adjustment payment for calendar year 2016, on which it based its projections.  This is important for Cigna to clarify because a projection of receiving rather than making a risk adjustment payment would indicate that Cigna has calculated that its </w:t>
      </w:r>
      <w:proofErr w:type="spellStart"/>
      <w:r w:rsidRPr="000F007C">
        <w:rPr>
          <w:rFonts w:ascii="Times New Roman" w:hAnsi="Times New Roman" w:cs="Times New Roman"/>
        </w:rPr>
        <w:t>insureds</w:t>
      </w:r>
      <w:proofErr w:type="spellEnd"/>
      <w:r w:rsidRPr="000F007C">
        <w:rPr>
          <w:rFonts w:ascii="Times New Roman" w:hAnsi="Times New Roman" w:cs="Times New Roman"/>
        </w:rPr>
        <w:t xml:space="preserve">, as a group, were less healthy than average in 2016. </w:t>
      </w:r>
    </w:p>
    <w:p w14:paraId="3CFE22F9" w14:textId="77777777" w:rsidR="0050243A" w:rsidRDefault="009775A0" w:rsidP="009775A0">
      <w:pPr>
        <w:suppressAutoHyphens/>
        <w:spacing w:line="480" w:lineRule="auto"/>
        <w:rPr>
          <w:rFonts w:ascii="Times New Roman" w:hAnsi="Times New Roman" w:cs="Times New Roman"/>
        </w:rPr>
      </w:pPr>
      <w:r w:rsidRPr="000F007C">
        <w:rPr>
          <w:rFonts w:ascii="Times New Roman" w:hAnsi="Times New Roman" w:cs="Times New Roman"/>
        </w:rPr>
        <w:tab/>
      </w:r>
      <w:r>
        <w:rPr>
          <w:rFonts w:ascii="Times New Roman" w:hAnsi="Times New Roman" w:cs="Times New Roman"/>
        </w:rPr>
        <w:t>Cigna also</w:t>
      </w:r>
      <w:r w:rsidRPr="000F007C">
        <w:rPr>
          <w:rFonts w:ascii="Times New Roman" w:hAnsi="Times New Roman" w:cs="Times New Roman"/>
        </w:rPr>
        <w:t xml:space="preserve"> failed to address the impact of a number of recent regulatory changes, many of which were adopted for purposes of improving</w:t>
      </w:r>
      <w:r>
        <w:rPr>
          <w:rFonts w:ascii="Times New Roman" w:hAnsi="Times New Roman" w:cs="Times New Roman"/>
        </w:rPr>
        <w:t xml:space="preserve"> health and stability of</w:t>
      </w:r>
      <w:r w:rsidRPr="000F007C">
        <w:rPr>
          <w:rFonts w:ascii="Times New Roman" w:hAnsi="Times New Roman" w:cs="Times New Roman"/>
        </w:rPr>
        <w:t xml:space="preserve"> the individual market risk pool at the behest of the insurance industry.  We discuss these changes in further detail below.  In light of their absence from Cigna’s Actuarial Memorandum, we encourage the Department to </w:t>
      </w:r>
    </w:p>
    <w:p w14:paraId="4FC8826D" w14:textId="77777777" w:rsidR="0050243A" w:rsidRDefault="0050243A" w:rsidP="009775A0">
      <w:pPr>
        <w:suppressAutoHyphens/>
        <w:spacing w:line="480" w:lineRule="auto"/>
        <w:rPr>
          <w:rFonts w:ascii="Times New Roman" w:hAnsi="Times New Roman" w:cs="Times New Roman"/>
        </w:rPr>
      </w:pPr>
    </w:p>
    <w:p w14:paraId="5A4074D3" w14:textId="77777777" w:rsidR="0050243A" w:rsidRDefault="0050243A" w:rsidP="009775A0">
      <w:pPr>
        <w:suppressAutoHyphens/>
        <w:spacing w:line="480" w:lineRule="auto"/>
        <w:rPr>
          <w:rFonts w:ascii="Times New Roman" w:hAnsi="Times New Roman" w:cs="Times New Roman"/>
        </w:rPr>
      </w:pPr>
    </w:p>
    <w:p w14:paraId="1969274B" w14:textId="7C908844" w:rsidR="009775A0" w:rsidRPr="000F007C" w:rsidRDefault="009775A0" w:rsidP="009775A0">
      <w:pPr>
        <w:suppressAutoHyphens/>
        <w:spacing w:line="480" w:lineRule="auto"/>
        <w:rPr>
          <w:rFonts w:ascii="Times New Roman" w:hAnsi="Times New Roman" w:cs="Times New Roman"/>
        </w:rPr>
      </w:pPr>
      <w:proofErr w:type="gramStart"/>
      <w:r w:rsidRPr="000F007C">
        <w:rPr>
          <w:rFonts w:ascii="Times New Roman" w:hAnsi="Times New Roman" w:cs="Times New Roman"/>
        </w:rPr>
        <w:t>look</w:t>
      </w:r>
      <w:proofErr w:type="gramEnd"/>
      <w:r w:rsidRPr="000F007C">
        <w:rPr>
          <w:rFonts w:ascii="Times New Roman" w:hAnsi="Times New Roman" w:cs="Times New Roman"/>
        </w:rPr>
        <w:t xml:space="preserve"> critically upon Cigna’s unsupported assumption that average market-wide morbidity will increase from 2017 to 2018</w:t>
      </w:r>
      <w:r>
        <w:rPr>
          <w:rFonts w:ascii="Times New Roman" w:hAnsi="Times New Roman" w:cs="Times New Roman"/>
        </w:rPr>
        <w:t xml:space="preserve"> and to demand further explanation</w:t>
      </w:r>
      <w:r w:rsidRPr="000F007C">
        <w:rPr>
          <w:rFonts w:ascii="Times New Roman" w:hAnsi="Times New Roman" w:cs="Times New Roman"/>
        </w:rPr>
        <w:t xml:space="preserve">.  </w:t>
      </w:r>
      <w:r w:rsidRPr="000F007C">
        <w:rPr>
          <w:rFonts w:ascii="Times New Roman" w:hAnsi="Times New Roman" w:cs="Times New Roman"/>
        </w:rPr>
        <w:tab/>
      </w:r>
    </w:p>
    <w:p w14:paraId="72153066" w14:textId="77777777" w:rsidR="009775A0" w:rsidRPr="000F007C" w:rsidRDefault="009775A0" w:rsidP="009775A0">
      <w:pPr>
        <w:pStyle w:val="ListParagraph"/>
        <w:numPr>
          <w:ilvl w:val="0"/>
          <w:numId w:val="5"/>
        </w:numPr>
        <w:suppressAutoHyphens/>
        <w:spacing w:line="480" w:lineRule="auto"/>
        <w:rPr>
          <w:rFonts w:ascii="Times New Roman" w:hAnsi="Times New Roman" w:cs="Times New Roman"/>
          <w:u w:val="single"/>
        </w:rPr>
      </w:pPr>
      <w:r w:rsidRPr="000F007C">
        <w:rPr>
          <w:rFonts w:ascii="Times New Roman" w:hAnsi="Times New Roman" w:cs="Times New Roman"/>
          <w:u w:val="single"/>
        </w:rPr>
        <w:t>Changes to Federal Standard Age Curve</w:t>
      </w:r>
    </w:p>
    <w:p w14:paraId="31EEB630" w14:textId="77777777" w:rsidR="009775A0" w:rsidRPr="000F007C" w:rsidRDefault="009775A0" w:rsidP="009775A0">
      <w:pPr>
        <w:suppressAutoHyphens/>
        <w:spacing w:line="480" w:lineRule="auto"/>
        <w:rPr>
          <w:rFonts w:ascii="Times New Roman" w:hAnsi="Times New Roman" w:cs="Times New Roman"/>
        </w:rPr>
      </w:pPr>
      <w:r w:rsidRPr="000F007C">
        <w:rPr>
          <w:rFonts w:ascii="Times New Roman" w:hAnsi="Times New Roman" w:cs="Times New Roman"/>
          <w:b/>
        </w:rPr>
        <w:tab/>
      </w:r>
      <w:r w:rsidRPr="000F007C">
        <w:rPr>
          <w:rFonts w:ascii="Times New Roman" w:hAnsi="Times New Roman" w:cs="Times New Roman"/>
        </w:rPr>
        <w:t>One of the few regulatory changes Cigna identifie</w:t>
      </w:r>
      <w:r>
        <w:rPr>
          <w:rFonts w:ascii="Times New Roman" w:hAnsi="Times New Roman" w:cs="Times New Roman"/>
        </w:rPr>
        <w:t>d</w:t>
      </w:r>
      <w:r w:rsidRPr="000F007C">
        <w:rPr>
          <w:rFonts w:ascii="Times New Roman" w:hAnsi="Times New Roman" w:cs="Times New Roman"/>
        </w:rPr>
        <w:t xml:space="preserve"> in its materials is the change to the federal standard age curve with respect to children</w:t>
      </w:r>
      <w:r>
        <w:rPr>
          <w:rFonts w:ascii="Times New Roman" w:hAnsi="Times New Roman" w:cs="Times New Roman"/>
        </w:rPr>
        <w:t>, which Cigna noted</w:t>
      </w:r>
      <w:r w:rsidRPr="000F007C">
        <w:rPr>
          <w:rFonts w:ascii="Times New Roman" w:hAnsi="Times New Roman" w:cs="Times New Roman"/>
        </w:rPr>
        <w:t xml:space="preserve"> “results in a one-time material increase for children under the age of 21.”</w:t>
      </w:r>
      <w:r>
        <w:rPr>
          <w:rStyle w:val="FootnoteReference"/>
          <w:rFonts w:ascii="Times New Roman" w:hAnsi="Times New Roman" w:cs="Times New Roman"/>
        </w:rPr>
        <w:footnoteReference w:id="6"/>
      </w:r>
      <w:r w:rsidRPr="000F007C">
        <w:rPr>
          <w:rFonts w:ascii="Times New Roman" w:hAnsi="Times New Roman" w:cs="Times New Roman"/>
        </w:rPr>
        <w:t xml:space="preserve">  We point this out because it is telling that Cigna chose to prominently identify one of the few changes from the Market Stabilization Rule that supports</w:t>
      </w:r>
      <w:r>
        <w:rPr>
          <w:rFonts w:ascii="Times New Roman" w:hAnsi="Times New Roman" w:cs="Times New Roman"/>
        </w:rPr>
        <w:t xml:space="preserve"> an increase in rates</w:t>
      </w:r>
      <w:r w:rsidRPr="000F007C">
        <w:rPr>
          <w:rFonts w:ascii="Times New Roman" w:hAnsi="Times New Roman" w:cs="Times New Roman"/>
        </w:rPr>
        <w:t xml:space="preserve"> while omitting any discussion of the numerous changes that put downward pressure on rates.</w:t>
      </w:r>
    </w:p>
    <w:p w14:paraId="2DD0101A" w14:textId="77777777" w:rsidR="009775A0" w:rsidRPr="000F007C" w:rsidRDefault="009775A0" w:rsidP="009775A0">
      <w:pPr>
        <w:pStyle w:val="ListParagraph"/>
        <w:numPr>
          <w:ilvl w:val="0"/>
          <w:numId w:val="5"/>
        </w:numPr>
        <w:suppressAutoHyphens/>
        <w:spacing w:line="480" w:lineRule="auto"/>
        <w:rPr>
          <w:rFonts w:ascii="Times New Roman" w:hAnsi="Times New Roman" w:cs="Times New Roman"/>
          <w:u w:val="single"/>
        </w:rPr>
      </w:pPr>
      <w:r w:rsidRPr="000F007C">
        <w:rPr>
          <w:rFonts w:ascii="Times New Roman" w:hAnsi="Times New Roman" w:cs="Times New Roman"/>
          <w:u w:val="single"/>
        </w:rPr>
        <w:t>Funding of Cost-Sharing Reduction Subsidies</w:t>
      </w:r>
    </w:p>
    <w:p w14:paraId="220685EC" w14:textId="77777777" w:rsidR="009775A0" w:rsidRDefault="009775A0" w:rsidP="009775A0">
      <w:pPr>
        <w:suppressAutoHyphens/>
        <w:spacing w:line="480" w:lineRule="auto"/>
        <w:ind w:firstLine="720"/>
        <w:rPr>
          <w:rFonts w:ascii="Times New Roman" w:hAnsi="Times New Roman" w:cs="Times New Roman"/>
        </w:rPr>
      </w:pPr>
      <w:r w:rsidRPr="000F007C">
        <w:rPr>
          <w:rFonts w:ascii="Times New Roman" w:hAnsi="Times New Roman" w:cs="Times New Roman"/>
        </w:rPr>
        <w:t xml:space="preserve">Cigna stated that their assumptions are based on the belief that it will not receive cost-sharing reductions in 2018.  Certainly there is lots of uncertainty in this area, but Cigna has provided no information to show how or to what extent this assumption has affected their price calculations.  Moreover, even though Cigna has claimed </w:t>
      </w:r>
      <w:r>
        <w:rPr>
          <w:rFonts w:ascii="Times New Roman" w:hAnsi="Times New Roman" w:cs="Times New Roman"/>
        </w:rPr>
        <w:t>that it</w:t>
      </w:r>
      <w:r w:rsidRPr="000F007C">
        <w:rPr>
          <w:rFonts w:ascii="Times New Roman" w:hAnsi="Times New Roman" w:cs="Times New Roman"/>
        </w:rPr>
        <w:t xml:space="preserve"> assumed that no cost-sharing reduction payments </w:t>
      </w:r>
      <w:proofErr w:type="gramStart"/>
      <w:r w:rsidRPr="000F007C">
        <w:rPr>
          <w:rFonts w:ascii="Times New Roman" w:hAnsi="Times New Roman" w:cs="Times New Roman"/>
        </w:rPr>
        <w:t>will</w:t>
      </w:r>
      <w:proofErr w:type="gramEnd"/>
      <w:r w:rsidRPr="000F007C">
        <w:rPr>
          <w:rFonts w:ascii="Times New Roman" w:hAnsi="Times New Roman" w:cs="Times New Roman"/>
        </w:rPr>
        <w:t xml:space="preserve"> be made to issuers in 2018, it has redacted key information and adjustment factors from Section 2, under Part III of the Actuarial Memorandum.  Given that Cigna itself identifie</w:t>
      </w:r>
      <w:r>
        <w:rPr>
          <w:rFonts w:ascii="Times New Roman" w:hAnsi="Times New Roman" w:cs="Times New Roman"/>
        </w:rPr>
        <w:t>d</w:t>
      </w:r>
      <w:r w:rsidRPr="000F007C">
        <w:rPr>
          <w:rFonts w:ascii="Times New Roman" w:hAnsi="Times New Roman" w:cs="Times New Roman"/>
        </w:rPr>
        <w:t xml:space="preserve"> the potential loss of cost-sharing reduction payments as a “Significant Factor” requiring its rate increase, the Department must demand a fuller and more transparent explanation of these changes.</w:t>
      </w:r>
    </w:p>
    <w:p w14:paraId="6F4C655B" w14:textId="77777777" w:rsidR="009775A0" w:rsidRDefault="009775A0" w:rsidP="009775A0">
      <w:pPr>
        <w:suppressAutoHyphens/>
        <w:spacing w:line="480" w:lineRule="auto"/>
        <w:ind w:firstLine="720"/>
        <w:rPr>
          <w:rFonts w:ascii="Times New Roman" w:hAnsi="Times New Roman" w:cs="Times New Roman"/>
        </w:rPr>
      </w:pPr>
    </w:p>
    <w:p w14:paraId="60D93DDB" w14:textId="77777777" w:rsidR="009775A0" w:rsidRDefault="009775A0" w:rsidP="009775A0">
      <w:pPr>
        <w:suppressAutoHyphens/>
        <w:spacing w:line="480" w:lineRule="auto"/>
        <w:ind w:firstLine="720"/>
        <w:rPr>
          <w:rFonts w:ascii="Times New Roman" w:hAnsi="Times New Roman" w:cs="Times New Roman"/>
        </w:rPr>
      </w:pPr>
    </w:p>
    <w:p w14:paraId="0926E6AF" w14:textId="77777777" w:rsidR="009775A0" w:rsidRPr="000F007C" w:rsidRDefault="009775A0" w:rsidP="009775A0">
      <w:pPr>
        <w:suppressAutoHyphens/>
        <w:spacing w:line="480" w:lineRule="auto"/>
        <w:rPr>
          <w:rFonts w:ascii="Times New Roman" w:hAnsi="Times New Roman" w:cs="Times New Roman"/>
          <w:b/>
        </w:rPr>
      </w:pPr>
      <w:r w:rsidRPr="000F007C">
        <w:rPr>
          <w:rFonts w:ascii="Times New Roman" w:hAnsi="Times New Roman" w:cs="Times New Roman"/>
          <w:b/>
        </w:rPr>
        <w:t xml:space="preserve">III. Market Stabilization Rule </w:t>
      </w:r>
    </w:p>
    <w:p w14:paraId="346C7F2C" w14:textId="77777777" w:rsidR="009775A0" w:rsidRPr="000F007C" w:rsidRDefault="009775A0" w:rsidP="009775A0">
      <w:pPr>
        <w:suppressAutoHyphens/>
        <w:spacing w:line="480" w:lineRule="auto"/>
        <w:ind w:firstLine="720"/>
        <w:rPr>
          <w:rFonts w:ascii="Times New Roman" w:hAnsi="Times New Roman" w:cs="Times New Roman"/>
        </w:rPr>
      </w:pPr>
      <w:r w:rsidRPr="000F007C">
        <w:rPr>
          <w:rFonts w:ascii="Times New Roman" w:hAnsi="Times New Roman" w:cs="Times New Roman"/>
        </w:rPr>
        <w:t>The U.S. Department of Health and Human Services (HHS) proposed the Market Stabilization Rule in an effort to “improve the risk pool and promote stability in the individual insurance market.</w:t>
      </w:r>
      <w:r w:rsidRPr="000F007C">
        <w:rPr>
          <w:rStyle w:val="FootnoteReference"/>
          <w:rFonts w:ascii="Times New Roman" w:hAnsi="Times New Roman" w:cs="Times New Roman"/>
        </w:rPr>
        <w:footnoteReference w:id="7"/>
      </w:r>
      <w:r w:rsidRPr="000F007C">
        <w:rPr>
          <w:rFonts w:ascii="Times New Roman" w:hAnsi="Times New Roman" w:cs="Times New Roman"/>
        </w:rPr>
        <w:t xml:space="preserve"> The rule made changes to a number of requirements, including Guaranteed Availability of Coverage, Open Enrollment Periods, Special Enrollment Periods, Levels of Coverage, Network Adequacy, and Essential Community Providers. </w:t>
      </w:r>
      <w:r>
        <w:rPr>
          <w:rFonts w:ascii="Times New Roman" w:hAnsi="Times New Roman" w:cs="Times New Roman"/>
        </w:rPr>
        <w:t xml:space="preserve"> Cigna’s failure to address these changes casts doubt on the validity of their morbidity assumptions.</w:t>
      </w:r>
    </w:p>
    <w:p w14:paraId="41578C48" w14:textId="77777777" w:rsidR="009775A0" w:rsidRPr="000F007C" w:rsidRDefault="009775A0" w:rsidP="009775A0">
      <w:pPr>
        <w:pStyle w:val="ListParagraph"/>
        <w:numPr>
          <w:ilvl w:val="0"/>
          <w:numId w:val="6"/>
        </w:numPr>
        <w:suppressAutoHyphens/>
        <w:spacing w:line="480" w:lineRule="auto"/>
        <w:rPr>
          <w:rFonts w:ascii="Times New Roman" w:hAnsi="Times New Roman" w:cs="Times New Roman"/>
          <w:u w:val="single"/>
        </w:rPr>
      </w:pPr>
      <w:r w:rsidRPr="000F007C">
        <w:rPr>
          <w:rFonts w:ascii="Times New Roman" w:hAnsi="Times New Roman" w:cs="Times New Roman"/>
          <w:u w:val="single"/>
        </w:rPr>
        <w:t>Guaranteed Availability of Coverage (45 C.F.R. § 147.104)</w:t>
      </w:r>
    </w:p>
    <w:p w14:paraId="56AD8311" w14:textId="77777777" w:rsidR="009775A0" w:rsidRPr="000F007C" w:rsidRDefault="009775A0" w:rsidP="009775A0">
      <w:pPr>
        <w:suppressAutoHyphens/>
        <w:spacing w:line="480" w:lineRule="auto"/>
        <w:ind w:firstLine="720"/>
        <w:rPr>
          <w:rFonts w:ascii="Times New Roman" w:hAnsi="Times New Roman" w:cs="Times New Roman"/>
        </w:rPr>
      </w:pPr>
      <w:r w:rsidRPr="000F007C">
        <w:rPr>
          <w:rFonts w:ascii="Times New Roman" w:hAnsi="Times New Roman" w:cs="Times New Roman"/>
        </w:rPr>
        <w:t>Guaranteed availability of coverage requires each health insurance issuer that offers coverage in the individual or group market in a state to accept every individual and employer that applies for coverage.</w:t>
      </w:r>
      <w:r w:rsidRPr="000F007C">
        <w:rPr>
          <w:rStyle w:val="FootnoteReference"/>
          <w:rFonts w:ascii="Times New Roman" w:hAnsi="Times New Roman" w:cs="Times New Roman"/>
        </w:rPr>
        <w:footnoteReference w:id="8"/>
      </w:r>
      <w:r w:rsidRPr="000F007C">
        <w:rPr>
          <w:rFonts w:ascii="Times New Roman" w:hAnsi="Times New Roman" w:cs="Times New Roman"/>
        </w:rPr>
        <w:t xml:space="preserve">  Previously, HHS interpreted this requirement to prohibit issuers from applying new enrollment premiums towards past-due premiums owed from previous coverage unless an individual sought to renew prior coverage with the same issuer in the same product.  It also prohibited issuers from refusing to effectuate coverage based on the enrollee’s previous history of failing to pay their coverage premiums.</w:t>
      </w:r>
      <w:r w:rsidRPr="000F007C">
        <w:rPr>
          <w:rStyle w:val="FootnoteReference"/>
          <w:rFonts w:ascii="Times New Roman" w:hAnsi="Times New Roman" w:cs="Times New Roman"/>
        </w:rPr>
        <w:footnoteReference w:id="9"/>
      </w:r>
      <w:r w:rsidRPr="000F007C">
        <w:rPr>
          <w:rFonts w:ascii="Times New Roman" w:hAnsi="Times New Roman" w:cs="Times New Roman"/>
        </w:rPr>
        <w:t xml:space="preserve">  Issuers </w:t>
      </w:r>
      <w:r w:rsidRPr="000F007C">
        <w:rPr>
          <w:rFonts w:ascii="Times New Roman" w:eastAsia="Times New Roman" w:hAnsi="Times New Roman" w:cs="Times New Roman"/>
          <w:shd w:val="clear" w:color="auto" w:fill="FFFFFF"/>
        </w:rPr>
        <w:t>objected to this interpretation, however, citing</w:t>
      </w:r>
      <w:r w:rsidRPr="000F007C">
        <w:rPr>
          <w:rFonts w:ascii="Times New Roman" w:hAnsi="Times New Roman" w:cs="Times New Roman"/>
        </w:rPr>
        <w:t xml:space="preserve"> unfair gaming and adverse selection by consumers.  They contended that individuals were purposefully declining to make premium payments near the end of a benefit year knowing they could sign up for new coverage during the next open enrollment period.</w:t>
      </w:r>
      <w:r w:rsidRPr="000F007C">
        <w:rPr>
          <w:rStyle w:val="FootnoteReference"/>
          <w:rFonts w:ascii="Times New Roman" w:hAnsi="Times New Roman" w:cs="Times New Roman"/>
        </w:rPr>
        <w:footnoteReference w:id="10"/>
      </w:r>
      <w:r w:rsidRPr="000F007C">
        <w:rPr>
          <w:rFonts w:ascii="Times New Roman" w:hAnsi="Times New Roman" w:cs="Times New Roman"/>
        </w:rPr>
        <w:t xml:space="preserve">  HHS directly addressed these concerns in the Market Stabilization Rule, providing a new interpretation of guaranteed availability of coverage.  Under this new interpretation, before effectuating new coverage issuers are allowed to attribute premiums paid for new coverage towards past-due premiums owed to them for coverage from the prior year from the same issuer.</w:t>
      </w:r>
      <w:r w:rsidRPr="000F007C">
        <w:rPr>
          <w:rStyle w:val="FootnoteReference"/>
          <w:rFonts w:ascii="Times New Roman" w:hAnsi="Times New Roman" w:cs="Times New Roman"/>
        </w:rPr>
        <w:footnoteReference w:id="11"/>
      </w:r>
      <w:r w:rsidRPr="000F007C">
        <w:rPr>
          <w:rFonts w:ascii="Times New Roman" w:hAnsi="Times New Roman" w:cs="Times New Roman"/>
        </w:rPr>
        <w:t xml:space="preserve">  In support of this change, HHS cited a study showing that 21</w:t>
      </w:r>
      <w:r>
        <w:rPr>
          <w:rFonts w:ascii="Times New Roman" w:hAnsi="Times New Roman" w:cs="Times New Roman"/>
        </w:rPr>
        <w:t>%</w:t>
      </w:r>
      <w:r w:rsidRPr="000F007C">
        <w:rPr>
          <w:rFonts w:ascii="Times New Roman" w:hAnsi="Times New Roman" w:cs="Times New Roman"/>
        </w:rPr>
        <w:t xml:space="preserve"> of consumers enrolled in individual market plans stopped making their premium</w:t>
      </w:r>
      <w:r>
        <w:rPr>
          <w:rFonts w:ascii="Times New Roman" w:hAnsi="Times New Roman" w:cs="Times New Roman"/>
        </w:rPr>
        <w:t xml:space="preserve"> payments in 2015; 87%</w:t>
      </w:r>
      <w:r w:rsidRPr="000F007C">
        <w:rPr>
          <w:rFonts w:ascii="Times New Roman" w:hAnsi="Times New Roman" w:cs="Times New Roman"/>
        </w:rPr>
        <w:t xml:space="preserve"> of these consumers then repurchased plans in 2016, with nearly half repurchasing the same plan in which they were previously enrolled.</w:t>
      </w:r>
      <w:r w:rsidRPr="000F007C">
        <w:rPr>
          <w:rStyle w:val="FootnoteReference"/>
          <w:rFonts w:ascii="Times New Roman" w:hAnsi="Times New Roman" w:cs="Times New Roman"/>
        </w:rPr>
        <w:footnoteReference w:id="12"/>
      </w:r>
    </w:p>
    <w:p w14:paraId="598A0601" w14:textId="77777777" w:rsidR="009775A0" w:rsidRPr="000F007C" w:rsidRDefault="009775A0" w:rsidP="009775A0">
      <w:pPr>
        <w:suppressAutoHyphens/>
        <w:spacing w:line="480" w:lineRule="auto"/>
        <w:rPr>
          <w:rFonts w:ascii="Times New Roman" w:hAnsi="Times New Roman" w:cs="Times New Roman"/>
        </w:rPr>
      </w:pPr>
      <w:r w:rsidRPr="000F007C">
        <w:rPr>
          <w:rFonts w:ascii="Times New Roman" w:hAnsi="Times New Roman" w:cs="Times New Roman"/>
        </w:rPr>
        <w:tab/>
        <w:t xml:space="preserve">Issuers, including Cigna and others </w:t>
      </w:r>
      <w:r w:rsidRPr="000F007C">
        <w:rPr>
          <w:rFonts w:ascii="Times New Roman" w:eastAsia="Times New Roman" w:hAnsi="Times New Roman" w:cs="Times New Roman"/>
          <w:shd w:val="clear" w:color="auto" w:fill="FFFFFF"/>
        </w:rPr>
        <w:t>seeking to participate in the Missouri individual and/or small group market</w:t>
      </w:r>
      <w:r w:rsidRPr="000F007C">
        <w:rPr>
          <w:rFonts w:ascii="Times New Roman" w:hAnsi="Times New Roman" w:cs="Times New Roman"/>
        </w:rPr>
        <w:t xml:space="preserve"> in 2018, supported this reinterpretation in comments to HHS.</w:t>
      </w:r>
      <w:bookmarkStart w:id="1" w:name="_Ref493842821"/>
      <w:r w:rsidRPr="000F007C">
        <w:rPr>
          <w:rStyle w:val="FootnoteReference"/>
          <w:rFonts w:ascii="Times New Roman" w:hAnsi="Times New Roman" w:cs="Times New Roman"/>
        </w:rPr>
        <w:footnoteReference w:id="13"/>
      </w:r>
      <w:bookmarkEnd w:id="1"/>
      <w:r w:rsidRPr="000F007C">
        <w:rPr>
          <w:rFonts w:ascii="Times New Roman" w:hAnsi="Times New Roman" w:cs="Times New Roman"/>
        </w:rPr>
        <w:t xml:space="preserve"> Anthem specifically observed that the stricter rules around eligibility for consumers who haven’t paid premiums “will help mitigate potential misuse and ‘gaming’ of the [system].”</w:t>
      </w:r>
      <w:r w:rsidRPr="000F007C">
        <w:rPr>
          <w:rStyle w:val="FootnoteReference"/>
          <w:rFonts w:ascii="Times New Roman" w:hAnsi="Times New Roman" w:cs="Times New Roman"/>
        </w:rPr>
        <w:footnoteReference w:id="14"/>
      </w:r>
      <w:r w:rsidRPr="000F007C">
        <w:rPr>
          <w:rFonts w:ascii="Times New Roman" w:hAnsi="Times New Roman" w:cs="Times New Roman"/>
        </w:rPr>
        <w:t xml:space="preserve"> Cigna more broadly acknowledged that HHS’s proposed rule would “</w:t>
      </w:r>
      <w:proofErr w:type="spellStart"/>
      <w:proofErr w:type="gramStart"/>
      <w:r w:rsidRPr="000F007C">
        <w:rPr>
          <w:rFonts w:ascii="Times New Roman" w:hAnsi="Times New Roman" w:cs="Times New Roman"/>
        </w:rPr>
        <w:t>increas</w:t>
      </w:r>
      <w:proofErr w:type="spellEnd"/>
      <w:r w:rsidRPr="000F007C">
        <w:rPr>
          <w:rFonts w:ascii="Times New Roman" w:hAnsi="Times New Roman" w:cs="Times New Roman"/>
        </w:rPr>
        <w:t>[</w:t>
      </w:r>
      <w:proofErr w:type="gramEnd"/>
      <w:r w:rsidRPr="000F007C">
        <w:rPr>
          <w:rFonts w:ascii="Times New Roman" w:hAnsi="Times New Roman" w:cs="Times New Roman"/>
        </w:rPr>
        <w:t xml:space="preserve">e] the incentives for individuals to maintain enrollment in health coverage and </w:t>
      </w:r>
      <w:proofErr w:type="spellStart"/>
      <w:r w:rsidRPr="000F007C">
        <w:rPr>
          <w:rFonts w:ascii="Times New Roman" w:hAnsi="Times New Roman" w:cs="Times New Roman"/>
        </w:rPr>
        <w:t>decreas</w:t>
      </w:r>
      <w:proofErr w:type="spellEnd"/>
      <w:r w:rsidRPr="000F007C">
        <w:rPr>
          <w:rFonts w:ascii="Times New Roman" w:hAnsi="Times New Roman" w:cs="Times New Roman"/>
        </w:rPr>
        <w:t>[e] incentives for individuals to enroll only after they require medical services.”</w:t>
      </w:r>
      <w:r w:rsidRPr="000F007C">
        <w:rPr>
          <w:rStyle w:val="FootnoteReference"/>
          <w:rFonts w:ascii="Times New Roman" w:hAnsi="Times New Roman" w:cs="Times New Roman"/>
        </w:rPr>
        <w:footnoteReference w:id="15"/>
      </w:r>
    </w:p>
    <w:p w14:paraId="1F15449C" w14:textId="77777777" w:rsidR="009775A0" w:rsidRPr="000F007C" w:rsidRDefault="009775A0" w:rsidP="009775A0">
      <w:pPr>
        <w:suppressAutoHyphens/>
        <w:spacing w:line="480" w:lineRule="auto"/>
        <w:ind w:firstLine="720"/>
        <w:rPr>
          <w:rFonts w:ascii="Times New Roman" w:eastAsia="Times New Roman" w:hAnsi="Times New Roman" w:cs="Times New Roman"/>
          <w:shd w:val="clear" w:color="auto" w:fill="FFFFFF"/>
        </w:rPr>
      </w:pPr>
      <w:r>
        <w:rPr>
          <w:rFonts w:ascii="Times New Roman" w:hAnsi="Times New Roman" w:cs="Times New Roman"/>
        </w:rPr>
        <w:t>B</w:t>
      </w:r>
      <w:r w:rsidRPr="000F007C">
        <w:rPr>
          <w:rFonts w:ascii="Times New Roman" w:hAnsi="Times New Roman" w:cs="Times New Roman"/>
        </w:rPr>
        <w:t xml:space="preserve">y the insurance industry’s own </w:t>
      </w:r>
      <w:r>
        <w:rPr>
          <w:rFonts w:ascii="Times New Roman" w:hAnsi="Times New Roman" w:cs="Times New Roman"/>
        </w:rPr>
        <w:t xml:space="preserve">logic, </w:t>
      </w:r>
      <w:r w:rsidRPr="000F007C">
        <w:rPr>
          <w:rFonts w:ascii="Times New Roman" w:hAnsi="Times New Roman" w:cs="Times New Roman"/>
        </w:rPr>
        <w:t>HHS’s new interpretation should</w:t>
      </w:r>
      <w:r w:rsidRPr="00F55058">
        <w:rPr>
          <w:rFonts w:ascii="Times New Roman" w:hAnsi="Times New Roman" w:cs="Times New Roman"/>
        </w:rPr>
        <w:t xml:space="preserve"> </w:t>
      </w:r>
      <w:r w:rsidRPr="000F007C">
        <w:rPr>
          <w:rFonts w:ascii="Times New Roman" w:hAnsi="Times New Roman" w:cs="Times New Roman"/>
        </w:rPr>
        <w:t>encourag</w:t>
      </w:r>
      <w:r>
        <w:rPr>
          <w:rFonts w:ascii="Times New Roman" w:hAnsi="Times New Roman" w:cs="Times New Roman"/>
        </w:rPr>
        <w:t xml:space="preserve">e </w:t>
      </w:r>
      <w:r w:rsidRPr="000F007C">
        <w:rPr>
          <w:rFonts w:ascii="Times New Roman" w:hAnsi="Times New Roman" w:cs="Times New Roman"/>
        </w:rPr>
        <w:t xml:space="preserve">individuals to </w:t>
      </w:r>
      <w:r>
        <w:rPr>
          <w:rFonts w:ascii="Times New Roman" w:hAnsi="Times New Roman" w:cs="Times New Roman"/>
        </w:rPr>
        <w:t>maintain more</w:t>
      </w:r>
      <w:r w:rsidRPr="000F007C">
        <w:rPr>
          <w:rFonts w:ascii="Times New Roman" w:hAnsi="Times New Roman" w:cs="Times New Roman"/>
        </w:rPr>
        <w:t xml:space="preserve"> continuous coverage</w:t>
      </w:r>
      <w:r>
        <w:rPr>
          <w:rFonts w:ascii="Times New Roman" w:hAnsi="Times New Roman" w:cs="Times New Roman"/>
        </w:rPr>
        <w:t xml:space="preserve"> and thus</w:t>
      </w:r>
      <w:r w:rsidRPr="000F007C">
        <w:rPr>
          <w:rFonts w:ascii="Times New Roman" w:hAnsi="Times New Roman" w:cs="Times New Roman"/>
        </w:rPr>
        <w:t xml:space="preserve"> improve the 2018 risk pool. This, in turn, should put downward pressure on rates. </w:t>
      </w:r>
      <w:r>
        <w:rPr>
          <w:rFonts w:ascii="Times New Roman" w:hAnsi="Times New Roman" w:cs="Times New Roman"/>
        </w:rPr>
        <w:t xml:space="preserve"> </w:t>
      </w:r>
      <w:r w:rsidRPr="000F007C">
        <w:rPr>
          <w:rFonts w:ascii="Times New Roman" w:hAnsi="Times New Roman" w:cs="Times New Roman"/>
        </w:rPr>
        <w:t>Yet C</w:t>
      </w:r>
      <w:r>
        <w:rPr>
          <w:rFonts w:ascii="Times New Roman" w:hAnsi="Times New Roman" w:cs="Times New Roman"/>
        </w:rPr>
        <w:t xml:space="preserve">igna failed to acknowledge this development </w:t>
      </w:r>
      <w:r w:rsidRPr="000F007C">
        <w:rPr>
          <w:rFonts w:ascii="Times New Roman" w:hAnsi="Times New Roman" w:cs="Times New Roman"/>
        </w:rPr>
        <w:t xml:space="preserve">in its 2018 rate justifications.  </w:t>
      </w:r>
      <w:r>
        <w:rPr>
          <w:rFonts w:ascii="Times New Roman" w:hAnsi="Times New Roman" w:cs="Times New Roman"/>
        </w:rPr>
        <w:t>Absent further clarification from Cigna regarding</w:t>
      </w:r>
      <w:r>
        <w:rPr>
          <w:rFonts w:ascii="Times New Roman" w:eastAsia="Times New Roman" w:hAnsi="Times New Roman" w:cs="Times New Roman"/>
          <w:shd w:val="clear" w:color="auto" w:fill="FFFFFF"/>
        </w:rPr>
        <w:t xml:space="preserve"> if and how it took the new interpretation into account, the Department should deem Cigna’s proposed rate increases unjustified and thus unreasonable.</w:t>
      </w:r>
    </w:p>
    <w:p w14:paraId="0DF5CBE6" w14:textId="77777777" w:rsidR="009775A0" w:rsidRPr="000F007C" w:rsidRDefault="009775A0" w:rsidP="009775A0">
      <w:pPr>
        <w:pStyle w:val="ListParagraph"/>
        <w:numPr>
          <w:ilvl w:val="0"/>
          <w:numId w:val="6"/>
        </w:numPr>
        <w:suppressAutoHyphens/>
        <w:spacing w:line="480" w:lineRule="auto"/>
        <w:rPr>
          <w:rFonts w:ascii="Times New Roman" w:hAnsi="Times New Roman" w:cs="Times New Roman"/>
          <w:u w:val="single"/>
        </w:rPr>
      </w:pPr>
      <w:r w:rsidRPr="000F007C">
        <w:rPr>
          <w:rFonts w:ascii="Times New Roman" w:hAnsi="Times New Roman" w:cs="Times New Roman"/>
          <w:u w:val="single"/>
        </w:rPr>
        <w:t>Open Enrollment Periods (45 C.F.R. § 155.410)</w:t>
      </w:r>
    </w:p>
    <w:p w14:paraId="299BE503" w14:textId="77777777" w:rsidR="009775A0" w:rsidRPr="000F007C" w:rsidRDefault="009775A0" w:rsidP="009775A0">
      <w:pPr>
        <w:suppressAutoHyphens/>
        <w:spacing w:line="480" w:lineRule="auto"/>
        <w:ind w:firstLine="720"/>
        <w:rPr>
          <w:rFonts w:ascii="Times New Roman" w:hAnsi="Times New Roman" w:cs="Times New Roman"/>
        </w:rPr>
      </w:pPr>
      <w:r w:rsidRPr="000F007C">
        <w:rPr>
          <w:rFonts w:ascii="Times New Roman" w:eastAsia="Times New Roman" w:hAnsi="Times New Roman" w:cs="Times New Roman"/>
        </w:rPr>
        <w:t>HHS has shortened the open enrollment period for the 2018 plan year from 90 days to 45 days, with the new open enrollment period beginning on November 1, 2017 and ending on December 15, 2017.</w:t>
      </w:r>
      <w:r w:rsidRPr="000F007C">
        <w:rPr>
          <w:rStyle w:val="FootnoteReference"/>
          <w:rFonts w:ascii="Times New Roman" w:eastAsia="Times New Roman" w:hAnsi="Times New Roman" w:cs="Times New Roman"/>
        </w:rPr>
        <w:footnoteReference w:id="16"/>
      </w:r>
      <w:r w:rsidRPr="000F007C">
        <w:rPr>
          <w:rFonts w:ascii="Times New Roman" w:eastAsia="Times New Roman" w:hAnsi="Times New Roman" w:cs="Times New Roman"/>
        </w:rPr>
        <w:t xml:space="preserve">  HHS adopted this change to improve the morbidity of the risk pool, “by reducing opportunities for adverse selection by those who learn they will need medical services in late December and </w:t>
      </w:r>
      <w:proofErr w:type="gramStart"/>
      <w:r w:rsidRPr="000F007C">
        <w:rPr>
          <w:rFonts w:ascii="Times New Roman" w:eastAsia="Times New Roman" w:hAnsi="Times New Roman" w:cs="Times New Roman"/>
        </w:rPr>
        <w:t>January[</w:t>
      </w:r>
      <w:proofErr w:type="gramEnd"/>
      <w:r w:rsidRPr="000F007C">
        <w:rPr>
          <w:rFonts w:ascii="Times New Roman" w:eastAsia="Times New Roman" w:hAnsi="Times New Roman" w:cs="Times New Roman"/>
        </w:rPr>
        <w:t xml:space="preserve">] and [by] </w:t>
      </w:r>
      <w:proofErr w:type="spellStart"/>
      <w:r w:rsidRPr="000F007C">
        <w:rPr>
          <w:rFonts w:ascii="Times New Roman" w:eastAsia="Times New Roman" w:hAnsi="Times New Roman" w:cs="Times New Roman"/>
        </w:rPr>
        <w:t>encourag</w:t>
      </w:r>
      <w:proofErr w:type="spellEnd"/>
      <w:r w:rsidRPr="000F007C">
        <w:rPr>
          <w:rFonts w:ascii="Times New Roman" w:eastAsia="Times New Roman" w:hAnsi="Times New Roman" w:cs="Times New Roman"/>
        </w:rPr>
        <w:t>[</w:t>
      </w:r>
      <w:proofErr w:type="spellStart"/>
      <w:r w:rsidRPr="000F007C">
        <w:rPr>
          <w:rFonts w:ascii="Times New Roman" w:eastAsia="Times New Roman" w:hAnsi="Times New Roman" w:cs="Times New Roman"/>
        </w:rPr>
        <w:t>ing</w:t>
      </w:r>
      <w:proofErr w:type="spellEnd"/>
      <w:r w:rsidRPr="000F007C">
        <w:rPr>
          <w:rFonts w:ascii="Times New Roman" w:eastAsia="Times New Roman" w:hAnsi="Times New Roman" w:cs="Times New Roman"/>
        </w:rPr>
        <w:t>] healthier individuals who might have previously enrolled in partial year coverage after December 15th to instead enroll in coverage for the full year.”</w:t>
      </w:r>
      <w:r w:rsidRPr="000F007C">
        <w:rPr>
          <w:rStyle w:val="FootnoteReference"/>
          <w:rFonts w:ascii="Times New Roman" w:eastAsia="Times New Roman" w:hAnsi="Times New Roman" w:cs="Times New Roman"/>
        </w:rPr>
        <w:footnoteReference w:id="17"/>
      </w:r>
      <w:r w:rsidRPr="000F007C">
        <w:rPr>
          <w:rFonts w:ascii="Times New Roman" w:eastAsia="Times New Roman" w:hAnsi="Times New Roman" w:cs="Times New Roman"/>
        </w:rPr>
        <w:t xml:space="preserve"> </w:t>
      </w:r>
    </w:p>
    <w:p w14:paraId="5CAD6F3E" w14:textId="77777777" w:rsidR="009775A0" w:rsidRPr="000F007C" w:rsidRDefault="009775A0" w:rsidP="009775A0">
      <w:pPr>
        <w:suppressAutoHyphens/>
        <w:spacing w:line="480" w:lineRule="auto"/>
        <w:ind w:firstLine="720"/>
        <w:rPr>
          <w:rFonts w:ascii="Times New Roman" w:hAnsi="Times New Roman" w:cs="Times New Roman"/>
        </w:rPr>
      </w:pPr>
      <w:r>
        <w:rPr>
          <w:rFonts w:ascii="Times New Roman" w:eastAsia="Times New Roman" w:hAnsi="Times New Roman" w:cs="Times New Roman"/>
        </w:rPr>
        <w:t>Issuers</w:t>
      </w:r>
      <w:r w:rsidRPr="000F007C">
        <w:rPr>
          <w:rFonts w:ascii="Times New Roman" w:eastAsia="Times New Roman" w:hAnsi="Times New Roman" w:cs="Times New Roman"/>
        </w:rPr>
        <w:t xml:space="preserve"> applauded this change.</w:t>
      </w:r>
      <w:r w:rsidRPr="000F007C">
        <w:rPr>
          <w:rStyle w:val="FootnoteReference"/>
          <w:rFonts w:ascii="Times New Roman" w:eastAsia="Times New Roman" w:hAnsi="Times New Roman" w:cs="Times New Roman"/>
        </w:rPr>
        <w:footnoteReference w:id="18"/>
      </w:r>
      <w:r w:rsidRPr="000F007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F007C">
        <w:rPr>
          <w:rFonts w:ascii="Times New Roman" w:eastAsia="Times New Roman" w:hAnsi="Times New Roman" w:cs="Times New Roman"/>
          <w:shd w:val="clear" w:color="auto" w:fill="FFFFFF"/>
        </w:rPr>
        <w:t>In its commen</w:t>
      </w:r>
      <w:r>
        <w:rPr>
          <w:rFonts w:ascii="Times New Roman" w:eastAsia="Times New Roman" w:hAnsi="Times New Roman" w:cs="Times New Roman"/>
          <w:shd w:val="clear" w:color="auto" w:fill="FFFFFF"/>
        </w:rPr>
        <w:t>ts on the proposed rule, Cigna explained</w:t>
      </w:r>
      <w:r w:rsidRPr="000F007C">
        <w:rPr>
          <w:rFonts w:ascii="Times New Roman" w:eastAsia="Times New Roman" w:hAnsi="Times New Roman" w:cs="Times New Roman"/>
          <w:shd w:val="clear" w:color="auto" w:fill="FFFFFF"/>
        </w:rPr>
        <w:t xml:space="preserve"> that, “</w:t>
      </w:r>
      <w:r>
        <w:rPr>
          <w:rFonts w:ascii="Times New Roman" w:eastAsia="Times New Roman" w:hAnsi="Times New Roman" w:cs="Times New Roman"/>
          <w:shd w:val="clear" w:color="auto" w:fill="FFFFFF"/>
        </w:rPr>
        <w:t>[</w:t>
      </w:r>
      <w:proofErr w:type="gramStart"/>
      <w:r>
        <w:rPr>
          <w:rFonts w:ascii="Times New Roman" w:eastAsia="Times New Roman" w:hAnsi="Times New Roman" w:cs="Times New Roman"/>
          <w:shd w:val="clear" w:color="auto" w:fill="FFFFFF"/>
        </w:rPr>
        <w:t>s]</w:t>
      </w:r>
      <w:proofErr w:type="spellStart"/>
      <w:r w:rsidRPr="000F007C">
        <w:rPr>
          <w:rFonts w:ascii="Times New Roman" w:eastAsia="Times New Roman" w:hAnsi="Times New Roman" w:cs="Times New Roman"/>
          <w:shd w:val="clear" w:color="auto" w:fill="FFFFFF"/>
        </w:rPr>
        <w:t>hortening</w:t>
      </w:r>
      <w:proofErr w:type="spellEnd"/>
      <w:proofErr w:type="gramEnd"/>
      <w:r w:rsidRPr="000F007C">
        <w:rPr>
          <w:rFonts w:ascii="Times New Roman" w:eastAsia="Times New Roman" w:hAnsi="Times New Roman" w:cs="Times New Roman"/>
          <w:shd w:val="clear" w:color="auto" w:fill="FFFFFF"/>
        </w:rPr>
        <w:t xml:space="preserve"> open enrollment to end on December 15</w:t>
      </w:r>
      <w:r w:rsidRPr="000F007C">
        <w:rPr>
          <w:rFonts w:ascii="Times New Roman" w:eastAsia="Times New Roman" w:hAnsi="Times New Roman" w:cs="Times New Roman"/>
          <w:shd w:val="clear" w:color="auto" w:fill="FFFFFF"/>
          <w:vertAlign w:val="superscript"/>
        </w:rPr>
        <w:t>th</w:t>
      </w:r>
      <w:r w:rsidRPr="000F007C">
        <w:rPr>
          <w:rFonts w:ascii="Times New Roman" w:eastAsia="Times New Roman" w:hAnsi="Times New Roman" w:cs="Times New Roman"/>
          <w:shd w:val="clear" w:color="auto" w:fill="FFFFFF"/>
        </w:rPr>
        <w:t xml:space="preserve"> ensures everyone’s coverage is effective the first day of the plan year which complements the underlying goal of full year continuous coverage and risk pool stability.”</w:t>
      </w:r>
      <w:r w:rsidRPr="000F007C">
        <w:rPr>
          <w:rStyle w:val="FootnoteReference"/>
          <w:rFonts w:ascii="Times New Roman" w:eastAsia="Times New Roman" w:hAnsi="Times New Roman" w:cs="Times New Roman"/>
          <w:shd w:val="clear" w:color="auto" w:fill="FFFFFF"/>
        </w:rPr>
        <w:footnoteReference w:id="19"/>
      </w:r>
      <w:r w:rsidRPr="000F007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The BlueCross BlueShield Association likewise stated that shortening the open enrollment period was “</w:t>
      </w:r>
      <w:r w:rsidRPr="00371B92">
        <w:rPr>
          <w:rFonts w:ascii="Times New Roman" w:eastAsia="Times New Roman" w:hAnsi="Times New Roman" w:cs="Times New Roman"/>
          <w:shd w:val="clear" w:color="auto" w:fill="FFFFFF"/>
        </w:rPr>
        <w:t>critical</w:t>
      </w:r>
      <w:r>
        <w:rPr>
          <w:rFonts w:ascii="Times New Roman" w:eastAsia="Times New Roman" w:hAnsi="Times New Roman" w:cs="Times New Roman"/>
          <w:shd w:val="clear" w:color="auto" w:fill="FFFFFF"/>
        </w:rPr>
        <w:t>”</w:t>
      </w:r>
      <w:r w:rsidRPr="00371B92">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“to encourage</w:t>
      </w:r>
      <w:r w:rsidRPr="00371B92">
        <w:rPr>
          <w:rFonts w:ascii="Times New Roman" w:eastAsia="Times New Roman" w:hAnsi="Times New Roman" w:cs="Times New Roman"/>
          <w:shd w:val="clear" w:color="auto" w:fill="FFFFFF"/>
        </w:rPr>
        <w:t xml:space="preserve"> that consumers maintain coverage for a full year</w:t>
      </w:r>
      <w:r>
        <w:rPr>
          <w:rFonts w:ascii="Times New Roman" w:eastAsia="Times New Roman" w:hAnsi="Times New Roman" w:cs="Times New Roman"/>
          <w:shd w:val="clear" w:color="auto" w:fill="FFFFFF"/>
        </w:rPr>
        <w:t>.”</w:t>
      </w:r>
      <w:r>
        <w:rPr>
          <w:rStyle w:val="FootnoteReference"/>
          <w:rFonts w:ascii="Times New Roman" w:eastAsia="Times New Roman" w:hAnsi="Times New Roman" w:cs="Times New Roman"/>
          <w:shd w:val="clear" w:color="auto" w:fill="FFFFFF"/>
        </w:rPr>
        <w:footnoteReference w:id="20"/>
      </w:r>
      <w:r>
        <w:rPr>
          <w:rFonts w:ascii="Times New Roman" w:hAnsi="Times New Roman" w:cs="Times New Roman"/>
        </w:rPr>
        <w:t xml:space="preserve">  </w:t>
      </w:r>
      <w:r w:rsidRPr="000F007C">
        <w:rPr>
          <w:rFonts w:ascii="Times New Roman" w:eastAsia="Times New Roman" w:hAnsi="Times New Roman" w:cs="Times New Roman"/>
          <w:shd w:val="clear" w:color="auto" w:fill="FFFFFF"/>
        </w:rPr>
        <w:t>Anthem</w:t>
      </w:r>
      <w:r>
        <w:rPr>
          <w:rFonts w:ascii="Times New Roman" w:eastAsia="Times New Roman" w:hAnsi="Times New Roman" w:cs="Times New Roman"/>
          <w:shd w:val="clear" w:color="auto" w:fill="FFFFFF"/>
        </w:rPr>
        <w:t xml:space="preserve"> also observed that</w:t>
      </w:r>
      <w:r w:rsidRPr="000F007C">
        <w:rPr>
          <w:rFonts w:ascii="Times New Roman" w:eastAsia="Times New Roman" w:hAnsi="Times New Roman" w:cs="Times New Roman"/>
          <w:shd w:val="clear" w:color="auto" w:fill="FFFFFF"/>
        </w:rPr>
        <w:t xml:space="preserve"> it believed a shorter enrollment per</w:t>
      </w:r>
      <w:r>
        <w:rPr>
          <w:rFonts w:ascii="Times New Roman" w:eastAsia="Times New Roman" w:hAnsi="Times New Roman" w:cs="Times New Roman"/>
          <w:shd w:val="clear" w:color="auto" w:fill="FFFFFF"/>
        </w:rPr>
        <w:t>iod “will improve the risk pool,</w:t>
      </w:r>
      <w:r w:rsidRPr="000F007C">
        <w:rPr>
          <w:rFonts w:ascii="Times New Roman" w:eastAsia="Times New Roman" w:hAnsi="Times New Roman" w:cs="Times New Roman"/>
          <w:shd w:val="clear" w:color="auto" w:fill="FFFFFF"/>
        </w:rPr>
        <w:t>”</w:t>
      </w:r>
      <w:r w:rsidRPr="000F007C">
        <w:rPr>
          <w:rStyle w:val="FootnoteReference"/>
          <w:rFonts w:ascii="Times New Roman" w:eastAsia="Times New Roman" w:hAnsi="Times New Roman" w:cs="Times New Roman"/>
          <w:shd w:val="clear" w:color="auto" w:fill="FFFFFF"/>
        </w:rPr>
        <w:footnoteReference w:id="21"/>
      </w:r>
      <w:r w:rsidRPr="000F007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and </w:t>
      </w:r>
      <w:proofErr w:type="spellStart"/>
      <w:r w:rsidRPr="000F007C">
        <w:rPr>
          <w:rFonts w:ascii="Times New Roman" w:eastAsia="Times New Roman" w:hAnsi="Times New Roman" w:cs="Times New Roman"/>
          <w:shd w:val="clear" w:color="auto" w:fill="FFFFFF"/>
        </w:rPr>
        <w:t>Centene</w:t>
      </w:r>
      <w:proofErr w:type="spellEnd"/>
      <w:r w:rsidRPr="000F007C">
        <w:rPr>
          <w:rFonts w:ascii="Times New Roman" w:eastAsia="Times New Roman" w:hAnsi="Times New Roman" w:cs="Times New Roman"/>
          <w:shd w:val="clear" w:color="auto" w:fill="FFFFFF"/>
        </w:rPr>
        <w:t xml:space="preserve"> agreed that the change “will promote a stable risk pool.”</w:t>
      </w:r>
      <w:r w:rsidRPr="000F007C">
        <w:rPr>
          <w:rStyle w:val="FootnoteReference"/>
          <w:rFonts w:ascii="Times New Roman" w:eastAsia="Times New Roman" w:hAnsi="Times New Roman" w:cs="Times New Roman"/>
          <w:shd w:val="clear" w:color="auto" w:fill="FFFFFF"/>
        </w:rPr>
        <w:footnoteReference w:id="22"/>
      </w:r>
    </w:p>
    <w:p w14:paraId="04917E7C" w14:textId="77777777" w:rsidR="009775A0" w:rsidRPr="000F007C" w:rsidRDefault="009775A0" w:rsidP="009775A0">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hAnsi="Times New Roman" w:cs="Times New Roman"/>
        </w:rPr>
        <w:t xml:space="preserve">Despite this consensus view among issuers, it is not apparent that Cigna took this change into consideration in its proposed rate increase.  While it may have been one of the factors Cigna relied on when formulating its Morbidity Factor, Cigna never stated as much in its Actuarial Memorandum. And because Cigna did not provide its actual morbidity calculation and instead merely provided a list of generalized factors that it relied upon when formulating its Morbidity Factor, it is impossible to ascertain whether the shortened enrollment period was considered. </w:t>
      </w:r>
      <w:r>
        <w:rPr>
          <w:rFonts w:ascii="Times New Roman" w:eastAsia="Times New Roman" w:hAnsi="Times New Roman" w:cs="Times New Roman"/>
          <w:shd w:val="clear" w:color="auto" w:fill="FFFFFF"/>
        </w:rPr>
        <w:t xml:space="preserve"> </w:t>
      </w:r>
      <w:r>
        <w:rPr>
          <w:rFonts w:ascii="Times New Roman" w:hAnsi="Times New Roman" w:cs="Times New Roman"/>
        </w:rPr>
        <w:t>Absent further clarification from Cigna regarding</w:t>
      </w:r>
      <w:r>
        <w:rPr>
          <w:rFonts w:ascii="Times New Roman" w:eastAsia="Times New Roman" w:hAnsi="Times New Roman" w:cs="Times New Roman"/>
          <w:shd w:val="clear" w:color="auto" w:fill="FFFFFF"/>
        </w:rPr>
        <w:t xml:space="preserve"> if and how it took this change into account, the Department should deem Cigna’s proposed rate increases unjustified and thus unreasonable.</w:t>
      </w:r>
    </w:p>
    <w:p w14:paraId="5CAE102B" w14:textId="77777777" w:rsidR="009775A0" w:rsidRPr="000F007C" w:rsidRDefault="009775A0" w:rsidP="009775A0">
      <w:pPr>
        <w:pStyle w:val="ListParagraph"/>
        <w:numPr>
          <w:ilvl w:val="0"/>
          <w:numId w:val="6"/>
        </w:numPr>
        <w:suppressAutoHyphens/>
        <w:spacing w:line="480" w:lineRule="auto"/>
        <w:rPr>
          <w:rFonts w:ascii="Times New Roman" w:hAnsi="Times New Roman" w:cs="Times New Roman"/>
          <w:u w:val="single"/>
        </w:rPr>
      </w:pPr>
      <w:r w:rsidRPr="000F007C">
        <w:rPr>
          <w:rFonts w:ascii="Times New Roman" w:hAnsi="Times New Roman" w:cs="Times New Roman"/>
          <w:u w:val="single"/>
        </w:rPr>
        <w:t>Special Enrollment Periods (45 C.F.R. § 155.420)</w:t>
      </w:r>
    </w:p>
    <w:p w14:paraId="1CAF3982" w14:textId="77777777" w:rsidR="009775A0" w:rsidRPr="000F007C" w:rsidRDefault="009775A0" w:rsidP="009775A0">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eastAsia="Times New Roman" w:hAnsi="Times New Roman" w:cs="Times New Roman"/>
          <w:shd w:val="clear" w:color="auto" w:fill="FFFFFF"/>
        </w:rPr>
        <w:t>Special enrollment periods ensure that people who lose health insurance during the year—due to the non-voluntary loss of minimum essential coverage provided through an employer or other qualifying events such as marriage or birth or adoption of a child—have the opportunity to enroll in new coverage or make changes to their existing coverage.</w:t>
      </w:r>
      <w:r w:rsidRPr="000F007C">
        <w:rPr>
          <w:rStyle w:val="FootnoteReference"/>
          <w:rFonts w:ascii="Times New Roman" w:eastAsia="Times New Roman" w:hAnsi="Times New Roman" w:cs="Times New Roman"/>
          <w:shd w:val="clear" w:color="auto" w:fill="FFFFFF"/>
        </w:rPr>
        <w:footnoteReference w:id="23"/>
      </w:r>
      <w:r w:rsidRPr="000F007C">
        <w:rPr>
          <w:rFonts w:ascii="Times New Roman" w:eastAsia="Times New Roman" w:hAnsi="Times New Roman" w:cs="Times New Roman"/>
          <w:shd w:val="clear" w:color="auto" w:fill="FFFFFF"/>
        </w:rPr>
        <w:t xml:space="preserve"> Issuers have raised concerns, however, that allowing previously uninsured individuals to enroll in coverage via a special enrollment period can increase the risk of adverse selection, negatively impact the risk pool, and contribute to market instability by leading issuers to leave the market.</w:t>
      </w:r>
      <w:r w:rsidRPr="000F007C">
        <w:rPr>
          <w:rStyle w:val="FootnoteReference"/>
          <w:rFonts w:ascii="Times New Roman" w:eastAsia="Times New Roman" w:hAnsi="Times New Roman" w:cs="Times New Roman"/>
          <w:shd w:val="clear" w:color="auto" w:fill="FFFFFF"/>
        </w:rPr>
        <w:footnoteReference w:id="24"/>
      </w:r>
      <w:r w:rsidRPr="000F007C">
        <w:rPr>
          <w:rFonts w:ascii="Times New Roman" w:eastAsia="Times New Roman" w:hAnsi="Times New Roman" w:cs="Times New Roman"/>
          <w:shd w:val="clear" w:color="auto" w:fill="FFFFFF"/>
        </w:rPr>
        <w:t xml:space="preserve">  Issuers have also specifically criticized HHS’s decision to allow consumers to self-attest to their eligibility for most special enrollment periods, with trade groups arguing that “without verification, a significant number of people will only purchase coverage when they need it, driving up cost for everyone.”</w:t>
      </w:r>
      <w:r w:rsidRPr="000F007C">
        <w:rPr>
          <w:rStyle w:val="FootnoteReference"/>
          <w:rFonts w:ascii="Times New Roman" w:eastAsia="Times New Roman" w:hAnsi="Times New Roman" w:cs="Times New Roman"/>
          <w:shd w:val="clear" w:color="auto" w:fill="FFFFFF"/>
        </w:rPr>
        <w:footnoteReference w:id="25"/>
      </w:r>
      <w:r w:rsidRPr="000F007C">
        <w:rPr>
          <w:rFonts w:ascii="Times New Roman" w:eastAsia="Times New Roman" w:hAnsi="Times New Roman" w:cs="Times New Roman"/>
          <w:shd w:val="clear" w:color="auto" w:fill="FFFFFF"/>
        </w:rPr>
        <w:t xml:space="preserve"> </w:t>
      </w:r>
    </w:p>
    <w:p w14:paraId="093DFBAF" w14:textId="77777777" w:rsidR="009775A0" w:rsidRPr="000F007C" w:rsidRDefault="009775A0" w:rsidP="009775A0">
      <w:pPr>
        <w:suppressAutoHyphens/>
        <w:spacing w:line="480" w:lineRule="auto"/>
        <w:ind w:firstLine="720"/>
        <w:rPr>
          <w:rFonts w:ascii="Times New Roman" w:eastAsia="Times New Roman" w:hAnsi="Times New Roman" w:cs="Times New Roman"/>
        </w:rPr>
      </w:pPr>
      <w:r w:rsidRPr="000F007C">
        <w:rPr>
          <w:rFonts w:ascii="Times New Roman" w:eastAsia="Times New Roman" w:hAnsi="Times New Roman" w:cs="Times New Roman"/>
          <w:shd w:val="clear" w:color="auto" w:fill="FFFFFF"/>
        </w:rPr>
        <w:t>In response to these concerns, HHS amended the regulations governing special enrollment periods in the Market Stabilization Rule.</w:t>
      </w:r>
      <w:r w:rsidRPr="000F007C">
        <w:rPr>
          <w:rStyle w:val="FootnoteReference"/>
          <w:rFonts w:ascii="Times New Roman" w:eastAsia="Times New Roman" w:hAnsi="Times New Roman" w:cs="Times New Roman"/>
          <w:shd w:val="clear" w:color="auto" w:fill="FFFFFF"/>
        </w:rPr>
        <w:footnoteReference w:id="26"/>
      </w:r>
      <w:r w:rsidRPr="000F007C">
        <w:rPr>
          <w:rFonts w:ascii="Times New Roman" w:eastAsia="Times New Roman" w:hAnsi="Times New Roman" w:cs="Times New Roman"/>
          <w:shd w:val="clear" w:color="auto" w:fill="FFFFFF"/>
        </w:rPr>
        <w:t xml:space="preserve">  Effective June 2017, any individual attempting to enroll using a special enrollment period must undergo pre-enrollment verification of their eligibility.</w:t>
      </w:r>
      <w:r w:rsidRPr="000F007C">
        <w:rPr>
          <w:rStyle w:val="FootnoteReference"/>
          <w:rFonts w:ascii="Times New Roman" w:eastAsia="Times New Roman" w:hAnsi="Times New Roman" w:cs="Times New Roman"/>
          <w:shd w:val="clear" w:color="auto" w:fill="FFFFFF"/>
        </w:rPr>
        <w:footnoteReference w:id="27"/>
      </w:r>
      <w:r w:rsidRPr="000F007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 </w:t>
      </w:r>
      <w:r w:rsidRPr="000F007C">
        <w:rPr>
          <w:rFonts w:ascii="Times New Roman" w:eastAsia="Times New Roman" w:hAnsi="Times New Roman" w:cs="Times New Roman"/>
          <w:shd w:val="clear" w:color="auto" w:fill="FFFFFF"/>
        </w:rPr>
        <w:t xml:space="preserve">In addition, </w:t>
      </w:r>
      <w:r>
        <w:rPr>
          <w:rFonts w:ascii="Times New Roman" w:eastAsia="Times New Roman" w:hAnsi="Times New Roman" w:cs="Times New Roman"/>
          <w:shd w:val="clear" w:color="auto" w:fill="FFFFFF"/>
        </w:rPr>
        <w:t>HHS limited</w:t>
      </w:r>
      <w:r w:rsidRPr="000F007C">
        <w:rPr>
          <w:rFonts w:ascii="Times New Roman" w:eastAsia="Times New Roman" w:hAnsi="Times New Roman" w:cs="Times New Roman"/>
          <w:shd w:val="clear" w:color="auto" w:fill="FFFFFF"/>
        </w:rPr>
        <w:t xml:space="preserve"> the extent to which individuals can obtain more comprehensive coverage during a special enrollment period</w:t>
      </w:r>
      <w:r w:rsidRPr="000F007C">
        <w:rPr>
          <w:rStyle w:val="FootnoteReference"/>
          <w:rFonts w:ascii="Times New Roman" w:eastAsia="Times New Roman" w:hAnsi="Times New Roman" w:cs="Times New Roman"/>
          <w:shd w:val="clear" w:color="auto" w:fill="FFFFFF"/>
        </w:rPr>
        <w:footnoteReference w:id="28"/>
      </w:r>
      <w:r w:rsidRPr="000F007C">
        <w:rPr>
          <w:rFonts w:ascii="Times New Roman" w:eastAsia="Times New Roman" w:hAnsi="Times New Roman" w:cs="Times New Roman"/>
          <w:shd w:val="clear" w:color="auto" w:fill="FFFFFF"/>
        </w:rPr>
        <w:t xml:space="preserve"> and allow</w:t>
      </w:r>
      <w:r>
        <w:rPr>
          <w:rFonts w:ascii="Times New Roman" w:eastAsia="Times New Roman" w:hAnsi="Times New Roman" w:cs="Times New Roman"/>
          <w:shd w:val="clear" w:color="auto" w:fill="FFFFFF"/>
        </w:rPr>
        <w:t>ed</w:t>
      </w:r>
      <w:r w:rsidRPr="000F007C">
        <w:rPr>
          <w:rFonts w:ascii="Times New Roman" w:eastAsia="Times New Roman" w:hAnsi="Times New Roman" w:cs="Times New Roman"/>
          <w:shd w:val="clear" w:color="auto" w:fill="FFFFFF"/>
        </w:rPr>
        <w:t xml:space="preserve"> insurers to reject applicants who lost minimum essential coverage because they failed to m</w:t>
      </w:r>
      <w:r>
        <w:rPr>
          <w:rFonts w:ascii="Times New Roman" w:eastAsia="Times New Roman" w:hAnsi="Times New Roman" w:cs="Times New Roman"/>
          <w:shd w:val="clear" w:color="auto" w:fill="FFFFFF"/>
        </w:rPr>
        <w:t>ake premium payments unless the applicants</w:t>
      </w:r>
      <w:r w:rsidRPr="000F007C">
        <w:rPr>
          <w:rFonts w:ascii="Times New Roman" w:eastAsia="Times New Roman" w:hAnsi="Times New Roman" w:cs="Times New Roman"/>
          <w:shd w:val="clear" w:color="auto" w:fill="FFFFFF"/>
        </w:rPr>
        <w:t xml:space="preserve"> also pay the past-due premiums.</w:t>
      </w:r>
      <w:r w:rsidRPr="000F007C">
        <w:rPr>
          <w:rStyle w:val="FootnoteReference"/>
          <w:rFonts w:ascii="Times New Roman" w:eastAsia="Times New Roman" w:hAnsi="Times New Roman" w:cs="Times New Roman"/>
          <w:shd w:val="clear" w:color="auto" w:fill="FFFFFF"/>
        </w:rPr>
        <w:footnoteReference w:id="29"/>
      </w:r>
      <w:r w:rsidRPr="000F007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HHS also adopted a</w:t>
      </w:r>
      <w:r w:rsidRPr="000F007C">
        <w:rPr>
          <w:rFonts w:ascii="Times New Roman" w:eastAsia="Times New Roman" w:hAnsi="Times New Roman" w:cs="Times New Roman"/>
          <w:shd w:val="clear" w:color="auto" w:fill="FFFFFF"/>
        </w:rPr>
        <w:t xml:space="preserve"> number of other new restrictions.</w:t>
      </w:r>
      <w:r w:rsidRPr="000F007C">
        <w:rPr>
          <w:rStyle w:val="FootnoteReference"/>
          <w:rFonts w:ascii="Times New Roman" w:eastAsia="Times New Roman" w:hAnsi="Times New Roman" w:cs="Times New Roman"/>
          <w:shd w:val="clear" w:color="auto" w:fill="FFFFFF"/>
        </w:rPr>
        <w:footnoteReference w:id="30"/>
      </w:r>
      <w:r w:rsidRPr="000F007C">
        <w:rPr>
          <w:rFonts w:ascii="Times New Roman" w:eastAsia="Times New Roman" w:hAnsi="Times New Roman" w:cs="Times New Roman"/>
          <w:shd w:val="clear" w:color="auto" w:fill="FFFFFF"/>
        </w:rPr>
        <w:t xml:space="preserve">  HHS’s Office of the Actuary estimated that these changes would reduce premiums by 1.5%.</w:t>
      </w:r>
      <w:r w:rsidRPr="000F007C">
        <w:rPr>
          <w:rStyle w:val="FootnoteReference"/>
          <w:rFonts w:ascii="Times New Roman" w:eastAsia="Times New Roman" w:hAnsi="Times New Roman" w:cs="Times New Roman"/>
          <w:shd w:val="clear" w:color="auto" w:fill="FFFFFF"/>
        </w:rPr>
        <w:footnoteReference w:id="31"/>
      </w:r>
    </w:p>
    <w:p w14:paraId="29ED18AE" w14:textId="77777777" w:rsidR="009775A0" w:rsidRPr="000F007C" w:rsidRDefault="009775A0" w:rsidP="009775A0">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eastAsia="Times New Roman" w:hAnsi="Times New Roman" w:cs="Times New Roman"/>
          <w:shd w:val="clear" w:color="auto" w:fill="FFFFFF"/>
        </w:rPr>
        <w:t xml:space="preserve">Unsurprisingly, </w:t>
      </w:r>
      <w:r>
        <w:rPr>
          <w:rFonts w:ascii="Times New Roman" w:eastAsia="Times New Roman" w:hAnsi="Times New Roman" w:cs="Times New Roman"/>
          <w:shd w:val="clear" w:color="auto" w:fill="FFFFFF"/>
        </w:rPr>
        <w:t xml:space="preserve">issuers </w:t>
      </w:r>
      <w:r w:rsidRPr="000F007C">
        <w:rPr>
          <w:rFonts w:ascii="Times New Roman" w:eastAsia="Times New Roman" w:hAnsi="Times New Roman" w:cs="Times New Roman"/>
          <w:shd w:val="clear" w:color="auto" w:fill="FFFFFF"/>
        </w:rPr>
        <w:t>strongly supported the new restrictions on special enrollment periods.</w:t>
      </w:r>
      <w:r w:rsidRPr="000F007C">
        <w:rPr>
          <w:rStyle w:val="FootnoteReference"/>
          <w:rFonts w:ascii="Times New Roman" w:eastAsia="Times New Roman" w:hAnsi="Times New Roman" w:cs="Times New Roman"/>
          <w:shd w:val="clear" w:color="auto" w:fill="FFFFFF"/>
        </w:rPr>
        <w:footnoteReference w:id="32"/>
      </w:r>
      <w:r w:rsidRPr="000F007C">
        <w:rPr>
          <w:rFonts w:ascii="Times New Roman" w:eastAsia="Times New Roman" w:hAnsi="Times New Roman" w:cs="Times New Roman"/>
          <w:shd w:val="clear" w:color="auto" w:fill="FFFFFF"/>
        </w:rPr>
        <w:t xml:space="preserve">  Cigna specifically noted that the changes “will aid in improving the risk pool and market stability and encourage continuous coverage.”</w:t>
      </w:r>
      <w:r w:rsidRPr="000F007C">
        <w:rPr>
          <w:rStyle w:val="FootnoteReference"/>
          <w:rFonts w:ascii="Times New Roman" w:eastAsia="Times New Roman" w:hAnsi="Times New Roman" w:cs="Times New Roman"/>
          <w:shd w:val="clear" w:color="auto" w:fill="FFFFFF"/>
        </w:rPr>
        <w:footnoteReference w:id="33"/>
      </w:r>
      <w:r w:rsidRPr="000F007C">
        <w:rPr>
          <w:rFonts w:ascii="Times New Roman" w:eastAsia="Times New Roman" w:hAnsi="Times New Roman" w:cs="Times New Roman"/>
          <w:shd w:val="clear" w:color="auto" w:fill="FFFFFF"/>
        </w:rPr>
        <w:t xml:space="preserve">  It later reiterated that “[</w:t>
      </w:r>
      <w:proofErr w:type="gramStart"/>
      <w:r w:rsidRPr="000F007C">
        <w:rPr>
          <w:rFonts w:ascii="Times New Roman" w:eastAsia="Times New Roman" w:hAnsi="Times New Roman" w:cs="Times New Roman"/>
          <w:shd w:val="clear" w:color="auto" w:fill="FFFFFF"/>
        </w:rPr>
        <w:t>t]he</w:t>
      </w:r>
      <w:proofErr w:type="gramEnd"/>
      <w:r w:rsidRPr="000F007C">
        <w:rPr>
          <w:rFonts w:ascii="Times New Roman" w:eastAsia="Times New Roman" w:hAnsi="Times New Roman" w:cs="Times New Roman"/>
          <w:shd w:val="clear" w:color="auto" w:fill="FFFFFF"/>
        </w:rPr>
        <w:t xml:space="preserve"> goal of verifying the eligibility for a special enrollment period is based on preventing adverse selection.”</w:t>
      </w:r>
      <w:r w:rsidRPr="000F007C">
        <w:rPr>
          <w:rStyle w:val="FootnoteReference"/>
          <w:rFonts w:ascii="Times New Roman" w:eastAsia="Times New Roman" w:hAnsi="Times New Roman" w:cs="Times New Roman"/>
          <w:shd w:val="clear" w:color="auto" w:fill="FFFFFF"/>
        </w:rPr>
        <w:footnoteReference w:id="34"/>
      </w:r>
      <w:r w:rsidRPr="000F007C">
        <w:rPr>
          <w:rFonts w:ascii="Times New Roman" w:eastAsia="Times New Roman" w:hAnsi="Times New Roman" w:cs="Times New Roman"/>
          <w:shd w:val="clear" w:color="auto" w:fill="FFFFFF"/>
        </w:rPr>
        <w:t xml:space="preserve">  Similarly, in encouraging HHS to adopt these changes, Anthem expressed its concern “that the ability to utilize SEPs inappropriately [] is driving up premiums and placing the market on an unsustainable path.”</w:t>
      </w:r>
      <w:r w:rsidRPr="000F007C">
        <w:rPr>
          <w:rStyle w:val="FootnoteReference"/>
          <w:rFonts w:ascii="Times New Roman" w:eastAsia="Times New Roman" w:hAnsi="Times New Roman" w:cs="Times New Roman"/>
          <w:shd w:val="clear" w:color="auto" w:fill="FFFFFF"/>
        </w:rPr>
        <w:footnoteReference w:id="35"/>
      </w:r>
      <w:r w:rsidRPr="000F007C">
        <w:rPr>
          <w:rFonts w:ascii="Times New Roman" w:eastAsia="Times New Roman" w:hAnsi="Times New Roman" w:cs="Times New Roman"/>
          <w:shd w:val="clear" w:color="auto" w:fill="FFFFFF"/>
        </w:rPr>
        <w:t xml:space="preserve">  The BlueCross BlueShield Association likewise pointed to the higher claims costs of consumers who rely on special enrollment periods in voicing support for the changes.</w:t>
      </w:r>
      <w:r w:rsidRPr="000F007C">
        <w:rPr>
          <w:rStyle w:val="FootnoteReference"/>
          <w:rFonts w:ascii="Times New Roman" w:eastAsia="Times New Roman" w:hAnsi="Times New Roman" w:cs="Times New Roman"/>
          <w:shd w:val="clear" w:color="auto" w:fill="FFFFFF"/>
        </w:rPr>
        <w:footnoteReference w:id="36"/>
      </w:r>
      <w:r w:rsidRPr="000F007C">
        <w:rPr>
          <w:rFonts w:ascii="Times New Roman" w:eastAsia="Times New Roman" w:hAnsi="Times New Roman" w:cs="Times New Roman"/>
          <w:shd w:val="clear" w:color="auto" w:fill="FFFFFF"/>
        </w:rPr>
        <w:t xml:space="preserve"> </w:t>
      </w:r>
    </w:p>
    <w:p w14:paraId="07D89638" w14:textId="77777777" w:rsidR="009775A0" w:rsidRPr="000F007C" w:rsidRDefault="009775A0" w:rsidP="009775A0">
      <w:pPr>
        <w:suppressAutoHyphens/>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rPr>
        <w:t>Despite</w:t>
      </w:r>
      <w:r w:rsidRPr="000F007C">
        <w:rPr>
          <w:rFonts w:ascii="Times New Roman" w:eastAsia="Times New Roman" w:hAnsi="Times New Roman" w:cs="Times New Roman"/>
        </w:rPr>
        <w:t xml:space="preserve"> the insurance industry’s enthusiasm for these changes, Cigna </w:t>
      </w:r>
      <w:r>
        <w:rPr>
          <w:rFonts w:ascii="Times New Roman" w:eastAsia="Times New Roman" w:hAnsi="Times New Roman" w:cs="Times New Roman"/>
        </w:rPr>
        <w:t>did not specify</w:t>
      </w:r>
      <w:r w:rsidRPr="000F007C">
        <w:rPr>
          <w:rFonts w:ascii="Times New Roman" w:eastAsia="Times New Roman" w:hAnsi="Times New Roman" w:cs="Times New Roman"/>
        </w:rPr>
        <w:t xml:space="preserve"> anywhere in its filing</w:t>
      </w:r>
      <w:r>
        <w:rPr>
          <w:rFonts w:ascii="Times New Roman" w:eastAsia="Times New Roman" w:hAnsi="Times New Roman" w:cs="Times New Roman"/>
        </w:rPr>
        <w:t xml:space="preserve"> whether it considered</w:t>
      </w:r>
      <w:r w:rsidRPr="000F007C">
        <w:rPr>
          <w:rFonts w:ascii="Times New Roman" w:eastAsia="Times New Roman" w:hAnsi="Times New Roman" w:cs="Times New Roman"/>
        </w:rPr>
        <w:t xml:space="preserve"> these changes in calculating its rates for 2018.</w:t>
      </w:r>
      <w:r>
        <w:rPr>
          <w:rFonts w:ascii="Times New Roman" w:eastAsia="Times New Roman" w:hAnsi="Times New Roman" w:cs="Times New Roman"/>
        </w:rPr>
        <w:t xml:space="preserve"> </w:t>
      </w:r>
      <w:r w:rsidRPr="000F007C">
        <w:rPr>
          <w:rFonts w:ascii="Times New Roman" w:eastAsia="Times New Roman" w:hAnsi="Times New Roman" w:cs="Times New Roman"/>
        </w:rPr>
        <w:t xml:space="preserve"> The restriction on special enrollment periods will make it far more difficult for individuals to game the system by waiting </w:t>
      </w:r>
      <w:r>
        <w:rPr>
          <w:rFonts w:ascii="Times New Roman" w:eastAsia="Times New Roman" w:hAnsi="Times New Roman" w:cs="Times New Roman"/>
        </w:rPr>
        <w:t>until</w:t>
      </w:r>
      <w:r w:rsidRPr="000F007C">
        <w:rPr>
          <w:rFonts w:ascii="Times New Roman" w:eastAsia="Times New Roman" w:hAnsi="Times New Roman" w:cs="Times New Roman"/>
        </w:rPr>
        <w:t xml:space="preserve"> they get sick to purchase coverage, rather than during open enrollment, and accordingly should </w:t>
      </w:r>
      <w:r>
        <w:rPr>
          <w:rFonts w:ascii="Times New Roman" w:eastAsia="Times New Roman" w:hAnsi="Times New Roman" w:cs="Times New Roman"/>
          <w:shd w:val="clear" w:color="auto" w:fill="FFFFFF"/>
        </w:rPr>
        <w:t>be reflected in</w:t>
      </w:r>
      <w:r w:rsidRPr="000F007C">
        <w:rPr>
          <w:rFonts w:ascii="Times New Roman" w:eastAsia="Times New Roman" w:hAnsi="Times New Roman" w:cs="Times New Roman"/>
          <w:shd w:val="clear" w:color="auto" w:fill="FFFFFF"/>
        </w:rPr>
        <w:t xml:space="preserve"> Cigna’s 2018 rate justifications.</w:t>
      </w:r>
      <w:r>
        <w:rPr>
          <w:rFonts w:ascii="Times New Roman" w:eastAsia="Times New Roman" w:hAnsi="Times New Roman" w:cs="Times New Roman"/>
          <w:shd w:val="clear" w:color="auto" w:fill="FFFFFF"/>
        </w:rPr>
        <w:t xml:space="preserve"> </w:t>
      </w:r>
      <w:r w:rsidRPr="000F007C">
        <w:rPr>
          <w:rFonts w:ascii="Times New Roman" w:eastAsia="Times New Roman" w:hAnsi="Times New Roman" w:cs="Times New Roman"/>
          <w:shd w:val="clear" w:color="auto" w:fill="FFFFFF"/>
        </w:rPr>
        <w:t xml:space="preserve"> </w:t>
      </w:r>
      <w:r>
        <w:rPr>
          <w:rFonts w:ascii="Times New Roman" w:hAnsi="Times New Roman" w:cs="Times New Roman"/>
        </w:rPr>
        <w:t>Absent further clarification from Cigna regarding</w:t>
      </w:r>
      <w:r>
        <w:rPr>
          <w:rFonts w:ascii="Times New Roman" w:eastAsia="Times New Roman" w:hAnsi="Times New Roman" w:cs="Times New Roman"/>
          <w:shd w:val="clear" w:color="auto" w:fill="FFFFFF"/>
        </w:rPr>
        <w:t xml:space="preserve"> if and how it took these changes into account, the Department should deem Cigna’s proposed rate increases unjustified and thus unreasonable.</w:t>
      </w:r>
    </w:p>
    <w:p w14:paraId="1B078F01" w14:textId="77777777" w:rsidR="009775A0" w:rsidRPr="000F007C" w:rsidRDefault="009775A0" w:rsidP="009775A0">
      <w:pPr>
        <w:pStyle w:val="ListParagraph"/>
        <w:numPr>
          <w:ilvl w:val="0"/>
          <w:numId w:val="6"/>
        </w:numPr>
        <w:suppressAutoHyphens/>
        <w:spacing w:line="480" w:lineRule="auto"/>
        <w:rPr>
          <w:rFonts w:ascii="Times New Roman" w:hAnsi="Times New Roman" w:cs="Times New Roman"/>
          <w:u w:val="single"/>
        </w:rPr>
      </w:pPr>
      <w:r w:rsidRPr="000F007C">
        <w:rPr>
          <w:rFonts w:ascii="Times New Roman" w:hAnsi="Times New Roman" w:cs="Times New Roman"/>
          <w:u w:val="single"/>
        </w:rPr>
        <w:t>Levels of Coverage (Actuarial Value) (45 C.F.R. § 156.140(c))</w:t>
      </w:r>
    </w:p>
    <w:p w14:paraId="0C05D6BC" w14:textId="77777777" w:rsidR="009775A0" w:rsidRPr="000F007C" w:rsidRDefault="009775A0" w:rsidP="009775A0">
      <w:pPr>
        <w:suppressAutoHyphens/>
        <w:spacing w:line="480" w:lineRule="auto"/>
        <w:ind w:firstLine="720"/>
        <w:rPr>
          <w:rFonts w:ascii="Times New Roman" w:hAnsi="Times New Roman" w:cs="Times New Roman"/>
        </w:rPr>
      </w:pPr>
      <w:r w:rsidRPr="000F007C">
        <w:rPr>
          <w:rFonts w:ascii="Times New Roman" w:eastAsia="Times New Roman" w:hAnsi="Times New Roman" w:cs="Times New Roman"/>
        </w:rPr>
        <w:t>Under the Affordable Care Act, issuers of non-grandfathered individual and small group health insurance plans must ensure that the plans adhere to certain levels of coverage, defined by the plan’s actuarial value.</w:t>
      </w:r>
      <w:r w:rsidRPr="000F007C">
        <w:rPr>
          <w:rStyle w:val="FootnoteReference"/>
          <w:rFonts w:ascii="Times New Roman" w:eastAsia="Times New Roman" w:hAnsi="Times New Roman" w:cs="Times New Roman"/>
        </w:rPr>
        <w:footnoteReference w:id="37"/>
      </w:r>
      <w:r w:rsidRPr="000F007C">
        <w:rPr>
          <w:rFonts w:ascii="Times New Roman" w:eastAsia="Times New Roman" w:hAnsi="Times New Roman" w:cs="Times New Roman"/>
        </w:rPr>
        <w:t xml:space="preserve">  A bronze plan is required to have an actuarial value of 60%, a silver plan is to have an actuarial value</w:t>
      </w:r>
      <w:r w:rsidRPr="000F007C" w:rsidDel="00594B1B">
        <w:rPr>
          <w:rFonts w:ascii="Times New Roman" w:eastAsia="Times New Roman" w:hAnsi="Times New Roman" w:cs="Times New Roman"/>
        </w:rPr>
        <w:t xml:space="preserve"> </w:t>
      </w:r>
      <w:r w:rsidRPr="000F007C">
        <w:rPr>
          <w:rFonts w:ascii="Times New Roman" w:eastAsia="Times New Roman" w:hAnsi="Times New Roman" w:cs="Times New Roman"/>
        </w:rPr>
        <w:t>of 70%, a gold plan is to have an actuarial value</w:t>
      </w:r>
      <w:r w:rsidRPr="000F007C" w:rsidDel="00594B1B">
        <w:rPr>
          <w:rFonts w:ascii="Times New Roman" w:eastAsia="Times New Roman" w:hAnsi="Times New Roman" w:cs="Times New Roman"/>
        </w:rPr>
        <w:t xml:space="preserve"> </w:t>
      </w:r>
      <w:r w:rsidRPr="000F007C">
        <w:rPr>
          <w:rFonts w:ascii="Times New Roman" w:eastAsia="Times New Roman" w:hAnsi="Times New Roman" w:cs="Times New Roman"/>
        </w:rPr>
        <w:t>of 80%, and a platinum plan is to have an actuarial value</w:t>
      </w:r>
      <w:r w:rsidRPr="000F007C" w:rsidDel="00594B1B">
        <w:rPr>
          <w:rFonts w:ascii="Times New Roman" w:eastAsia="Times New Roman" w:hAnsi="Times New Roman" w:cs="Times New Roman"/>
        </w:rPr>
        <w:t xml:space="preserve"> </w:t>
      </w:r>
      <w:r w:rsidRPr="000F007C">
        <w:rPr>
          <w:rFonts w:ascii="Times New Roman" w:eastAsia="Times New Roman" w:hAnsi="Times New Roman" w:cs="Times New Roman"/>
        </w:rPr>
        <w:t>of 90%.</w:t>
      </w:r>
      <w:r w:rsidRPr="000F007C">
        <w:rPr>
          <w:rStyle w:val="FootnoteReference"/>
          <w:rFonts w:ascii="Times New Roman" w:eastAsia="Times New Roman" w:hAnsi="Times New Roman" w:cs="Times New Roman"/>
        </w:rPr>
        <w:footnoteReference w:id="38"/>
      </w:r>
      <w:r>
        <w:rPr>
          <w:rFonts w:ascii="Times New Roman" w:eastAsia="Times New Roman" w:hAnsi="Times New Roman" w:cs="Times New Roman"/>
        </w:rPr>
        <w:t xml:space="preserve"> </w:t>
      </w:r>
      <w:r w:rsidRPr="000F007C">
        <w:rPr>
          <w:rFonts w:ascii="Times New Roman" w:eastAsia="Times New Roman" w:hAnsi="Times New Roman" w:cs="Times New Roman"/>
        </w:rPr>
        <w:t xml:space="preserve"> To ensure that issuers meet these benchmarks, HHS created an actuarial value calculator that estimates a plan’s average spending by a wide range of consumers in a standard population.</w:t>
      </w:r>
      <w:r w:rsidRPr="000F007C">
        <w:rPr>
          <w:rStyle w:val="FootnoteReference"/>
          <w:rFonts w:ascii="Times New Roman" w:eastAsia="Times New Roman" w:hAnsi="Times New Roman" w:cs="Times New Roman"/>
        </w:rPr>
        <w:footnoteReference w:id="39"/>
      </w:r>
      <w:r w:rsidRPr="000F007C">
        <w:rPr>
          <w:rFonts w:ascii="Times New Roman" w:eastAsia="Times New Roman" w:hAnsi="Times New Roman" w:cs="Times New Roman"/>
        </w:rPr>
        <w:t xml:space="preserve">  Because the calculator’s results are necessarily approximations, HHS has allowed </w:t>
      </w:r>
      <w:r w:rsidRPr="000F007C">
        <w:rPr>
          <w:rFonts w:ascii="Times New Roman" w:eastAsia="Times New Roman" w:hAnsi="Times New Roman" w:cs="Times New Roman"/>
          <w:i/>
        </w:rPr>
        <w:t xml:space="preserve">de </w:t>
      </w:r>
      <w:proofErr w:type="spellStart"/>
      <w:r w:rsidRPr="000F007C">
        <w:rPr>
          <w:rFonts w:ascii="Times New Roman" w:eastAsia="Times New Roman" w:hAnsi="Times New Roman" w:cs="Times New Roman"/>
          <w:i/>
        </w:rPr>
        <w:t>minimis</w:t>
      </w:r>
      <w:proofErr w:type="spellEnd"/>
      <w:r w:rsidRPr="000F007C">
        <w:rPr>
          <w:rFonts w:ascii="Times New Roman" w:eastAsia="Times New Roman" w:hAnsi="Times New Roman" w:cs="Times New Roman"/>
        </w:rPr>
        <w:t xml:space="preserve"> variation of +/ – 2 percentage points in the actuarial valuations used to determine a plan’s level of coverage.</w:t>
      </w:r>
      <w:r w:rsidRPr="000F007C">
        <w:rPr>
          <w:rStyle w:val="FootnoteReference"/>
          <w:rFonts w:ascii="Times New Roman" w:eastAsia="Times New Roman" w:hAnsi="Times New Roman" w:cs="Times New Roman"/>
        </w:rPr>
        <w:footnoteReference w:id="40"/>
      </w:r>
      <w:r w:rsidRPr="000F007C">
        <w:rPr>
          <w:rFonts w:ascii="Times New Roman" w:eastAsia="Times New Roman" w:hAnsi="Times New Roman" w:cs="Times New Roman"/>
        </w:rPr>
        <w:t xml:space="preserve">  Under the Market Stabilization Rule, HHS adopted a new </w:t>
      </w:r>
      <w:r w:rsidRPr="000F007C">
        <w:rPr>
          <w:rFonts w:ascii="Times New Roman" w:eastAsia="Times New Roman" w:hAnsi="Times New Roman" w:cs="Times New Roman"/>
          <w:i/>
        </w:rPr>
        <w:t xml:space="preserve">de </w:t>
      </w:r>
      <w:proofErr w:type="spellStart"/>
      <w:r w:rsidRPr="000F007C">
        <w:rPr>
          <w:rFonts w:ascii="Times New Roman" w:eastAsia="Times New Roman" w:hAnsi="Times New Roman" w:cs="Times New Roman"/>
          <w:i/>
        </w:rPr>
        <w:t>minimis</w:t>
      </w:r>
      <w:proofErr w:type="spellEnd"/>
      <w:r w:rsidRPr="000F007C">
        <w:rPr>
          <w:rFonts w:ascii="Times New Roman" w:eastAsia="Times New Roman" w:hAnsi="Times New Roman" w:cs="Times New Roman"/>
        </w:rPr>
        <w:t xml:space="preserve"> range of – 4/+2 for the 2018 plan year.</w:t>
      </w:r>
      <w:r w:rsidRPr="000F007C">
        <w:rPr>
          <w:rStyle w:val="FootnoteReference"/>
          <w:rFonts w:ascii="Times New Roman" w:eastAsia="Times New Roman" w:hAnsi="Times New Roman" w:cs="Times New Roman"/>
        </w:rPr>
        <w:footnoteReference w:id="41"/>
      </w:r>
      <w:r>
        <w:rPr>
          <w:rFonts w:ascii="Times New Roman" w:eastAsia="Times New Roman" w:hAnsi="Times New Roman" w:cs="Times New Roman"/>
        </w:rPr>
        <w:t xml:space="preserve"> </w:t>
      </w:r>
      <w:r w:rsidRPr="000F007C">
        <w:rPr>
          <w:rFonts w:ascii="Times New Roman" w:eastAsia="Times New Roman" w:hAnsi="Times New Roman" w:cs="Times New Roman"/>
        </w:rPr>
        <w:t xml:space="preserve"> Thus, for example, a silver plan could have an actuarial value anywhere between 66 and 72%. According to HHS, this expanded </w:t>
      </w:r>
      <w:r w:rsidRPr="000F007C">
        <w:rPr>
          <w:rFonts w:ascii="Times New Roman" w:eastAsia="Times New Roman" w:hAnsi="Times New Roman" w:cs="Times New Roman"/>
          <w:i/>
        </w:rPr>
        <w:t xml:space="preserve">de </w:t>
      </w:r>
      <w:proofErr w:type="spellStart"/>
      <w:r w:rsidRPr="000F007C">
        <w:rPr>
          <w:rFonts w:ascii="Times New Roman" w:eastAsia="Times New Roman" w:hAnsi="Times New Roman" w:cs="Times New Roman"/>
          <w:i/>
        </w:rPr>
        <w:t>minimis</w:t>
      </w:r>
      <w:proofErr w:type="spellEnd"/>
      <w:r w:rsidRPr="000F007C">
        <w:rPr>
          <w:rFonts w:ascii="Times New Roman" w:eastAsia="Times New Roman" w:hAnsi="Times New Roman" w:cs="Times New Roman"/>
          <w:i/>
        </w:rPr>
        <w:t xml:space="preserve"> </w:t>
      </w:r>
      <w:r w:rsidRPr="000F007C">
        <w:rPr>
          <w:rFonts w:ascii="Times New Roman" w:eastAsia="Times New Roman" w:hAnsi="Times New Roman" w:cs="Times New Roman"/>
        </w:rPr>
        <w:t>range will allow flexibility for issuers that will improve the health and competitiveness of the market.</w:t>
      </w:r>
      <w:r w:rsidRPr="000F007C">
        <w:rPr>
          <w:rStyle w:val="FootnoteReference"/>
          <w:rFonts w:ascii="Times New Roman" w:eastAsia="Times New Roman" w:hAnsi="Times New Roman" w:cs="Times New Roman"/>
        </w:rPr>
        <w:footnoteReference w:id="42"/>
      </w:r>
      <w:r w:rsidRPr="000F007C">
        <w:rPr>
          <w:rFonts w:ascii="Times New Roman" w:eastAsia="Times New Roman" w:hAnsi="Times New Roman" w:cs="Times New Roman"/>
        </w:rPr>
        <w:t xml:space="preserve"> </w:t>
      </w:r>
    </w:p>
    <w:p w14:paraId="570B94B5" w14:textId="77777777" w:rsidR="009775A0" w:rsidRPr="000F007C" w:rsidRDefault="009775A0" w:rsidP="009775A0">
      <w:pPr>
        <w:suppressAutoHyphens/>
        <w:spacing w:line="480" w:lineRule="auto"/>
        <w:ind w:firstLine="720"/>
        <w:rPr>
          <w:rFonts w:ascii="Times New Roman" w:eastAsia="Times New Roman" w:hAnsi="Times New Roman" w:cs="Times New Roman"/>
        </w:rPr>
      </w:pPr>
      <w:r w:rsidRPr="000F007C">
        <w:rPr>
          <w:rFonts w:ascii="Times New Roman" w:eastAsia="Times New Roman" w:hAnsi="Times New Roman" w:cs="Times New Roman"/>
        </w:rPr>
        <w:t xml:space="preserve">Not unexpectedly, </w:t>
      </w:r>
      <w:r>
        <w:rPr>
          <w:rFonts w:ascii="Times New Roman" w:eastAsia="Times New Roman" w:hAnsi="Times New Roman" w:cs="Times New Roman"/>
        </w:rPr>
        <w:t>issuers</w:t>
      </w:r>
      <w:r w:rsidRPr="000F007C">
        <w:rPr>
          <w:rFonts w:ascii="Times New Roman" w:eastAsia="Times New Roman" w:hAnsi="Times New Roman" w:cs="Times New Roman"/>
        </w:rPr>
        <w:t xml:space="preserve"> supported the expanded </w:t>
      </w:r>
      <w:r w:rsidRPr="000F007C">
        <w:rPr>
          <w:rFonts w:ascii="Times New Roman" w:eastAsia="Times New Roman" w:hAnsi="Times New Roman" w:cs="Times New Roman"/>
          <w:i/>
        </w:rPr>
        <w:t xml:space="preserve">de </w:t>
      </w:r>
      <w:proofErr w:type="spellStart"/>
      <w:r w:rsidRPr="000F007C">
        <w:rPr>
          <w:rFonts w:ascii="Times New Roman" w:eastAsia="Times New Roman" w:hAnsi="Times New Roman" w:cs="Times New Roman"/>
          <w:i/>
        </w:rPr>
        <w:t>minimis</w:t>
      </w:r>
      <w:proofErr w:type="spellEnd"/>
      <w:r w:rsidRPr="000F007C">
        <w:rPr>
          <w:rFonts w:ascii="Times New Roman" w:eastAsia="Times New Roman" w:hAnsi="Times New Roman" w:cs="Times New Roman"/>
        </w:rPr>
        <w:t xml:space="preserve"> range.</w:t>
      </w:r>
      <w:r w:rsidRPr="000F007C">
        <w:rPr>
          <w:rStyle w:val="FootnoteReference"/>
          <w:rFonts w:ascii="Times New Roman" w:eastAsia="Times New Roman" w:hAnsi="Times New Roman" w:cs="Times New Roman"/>
        </w:rPr>
        <w:footnoteReference w:id="43"/>
      </w:r>
      <w:r>
        <w:rPr>
          <w:rFonts w:ascii="Times New Roman" w:eastAsia="Times New Roman" w:hAnsi="Times New Roman" w:cs="Times New Roman"/>
        </w:rPr>
        <w:t xml:space="preserve"> </w:t>
      </w:r>
      <w:r w:rsidRPr="000F007C">
        <w:rPr>
          <w:rFonts w:ascii="Times New Roman" w:eastAsia="Times New Roman" w:hAnsi="Times New Roman" w:cs="Times New Roman"/>
        </w:rPr>
        <w:t xml:space="preserve"> According to Anthem, “the ability to offer a range of [plan] designs that appeal to consumers with different demographic profiles and health care needs is particularly important in the individual market,” and the “additional allowed </w:t>
      </w:r>
      <w:r>
        <w:rPr>
          <w:rFonts w:ascii="Times New Roman" w:eastAsia="Times New Roman" w:hAnsi="Times New Roman" w:cs="Times New Roman"/>
        </w:rPr>
        <w:t xml:space="preserve">[actuarial value] </w:t>
      </w:r>
      <w:r w:rsidRPr="000F007C">
        <w:rPr>
          <w:rFonts w:ascii="Times New Roman" w:eastAsia="Times New Roman" w:hAnsi="Times New Roman" w:cs="Times New Roman"/>
        </w:rPr>
        <w:t>variation could protect or increase enrollment by making certain attractive plan designs more accessible to consumers.”</w:t>
      </w:r>
      <w:r w:rsidRPr="000F007C">
        <w:rPr>
          <w:rStyle w:val="FootnoteReference"/>
          <w:rFonts w:ascii="Times New Roman" w:eastAsia="Times New Roman" w:hAnsi="Times New Roman" w:cs="Times New Roman"/>
        </w:rPr>
        <w:footnoteReference w:id="44"/>
      </w:r>
      <w:r w:rsidRPr="000F007C">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0F007C">
        <w:rPr>
          <w:rFonts w:ascii="Times New Roman" w:eastAsia="Times New Roman" w:hAnsi="Times New Roman" w:cs="Times New Roman"/>
        </w:rPr>
        <w:t>Centene</w:t>
      </w:r>
      <w:proofErr w:type="spellEnd"/>
      <w:r w:rsidRPr="000F007C">
        <w:rPr>
          <w:rFonts w:ascii="Times New Roman" w:eastAsia="Times New Roman" w:hAnsi="Times New Roman" w:cs="Times New Roman"/>
        </w:rPr>
        <w:t xml:space="preserve"> added that “[</w:t>
      </w:r>
      <w:proofErr w:type="gramStart"/>
      <w:r w:rsidRPr="000F007C">
        <w:rPr>
          <w:rFonts w:ascii="Times New Roman" w:eastAsia="Times New Roman" w:hAnsi="Times New Roman" w:cs="Times New Roman"/>
        </w:rPr>
        <w:t>t]he</w:t>
      </w:r>
      <w:proofErr w:type="gramEnd"/>
      <w:r w:rsidRPr="000F007C">
        <w:rPr>
          <w:rFonts w:ascii="Times New Roman" w:eastAsia="Times New Roman" w:hAnsi="Times New Roman" w:cs="Times New Roman"/>
        </w:rPr>
        <w:t xml:space="preserve"> flexibility allowed by creating greater variance within a metal tier will help issuers maintain their current plans year over year, while minimizing disruption by avoiding discontinuance notifications.”</w:t>
      </w:r>
      <w:r w:rsidRPr="000F007C">
        <w:rPr>
          <w:rStyle w:val="FootnoteReference"/>
          <w:rFonts w:ascii="Times New Roman" w:eastAsia="Times New Roman" w:hAnsi="Times New Roman" w:cs="Times New Roman"/>
        </w:rPr>
        <w:footnoteReference w:id="45"/>
      </w:r>
      <w:r w:rsidRPr="000F007C">
        <w:rPr>
          <w:rFonts w:ascii="Times New Roman" w:eastAsia="Times New Roman" w:hAnsi="Times New Roman" w:cs="Times New Roman"/>
        </w:rPr>
        <w:t xml:space="preserve"> </w:t>
      </w:r>
    </w:p>
    <w:p w14:paraId="7254B63F" w14:textId="77777777" w:rsidR="009775A0" w:rsidRPr="000F007C" w:rsidRDefault="009775A0" w:rsidP="009775A0">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eastAsia="Times New Roman" w:hAnsi="Times New Roman" w:cs="Times New Roman"/>
          <w:shd w:val="clear" w:color="auto" w:fill="FFFFFF"/>
        </w:rPr>
        <w:t xml:space="preserve">In light of the issuers’ arguments that greater flexibility in plan designs fosters continuous coverage, this change should help improve the risk pool and drive down the overall cost of care.  As such, it should be reflected in Cigna’s 2018 rate justifications.  </w:t>
      </w:r>
      <w:r>
        <w:rPr>
          <w:rFonts w:ascii="Times New Roman" w:hAnsi="Times New Roman" w:cs="Times New Roman"/>
        </w:rPr>
        <w:t>Absent further clarification from Cigna regarding</w:t>
      </w:r>
      <w:r>
        <w:rPr>
          <w:rFonts w:ascii="Times New Roman" w:eastAsia="Times New Roman" w:hAnsi="Times New Roman" w:cs="Times New Roman"/>
          <w:shd w:val="clear" w:color="auto" w:fill="FFFFFF"/>
        </w:rPr>
        <w:t xml:space="preserve"> if and how it took this change into account, the Department should deem Cigna’s proposed rate increases unjustified and thus unreasonable.</w:t>
      </w:r>
    </w:p>
    <w:p w14:paraId="36E08E91" w14:textId="77777777" w:rsidR="009775A0" w:rsidRPr="000F007C" w:rsidRDefault="009775A0" w:rsidP="009775A0">
      <w:pPr>
        <w:pStyle w:val="ListParagraph"/>
        <w:numPr>
          <w:ilvl w:val="0"/>
          <w:numId w:val="6"/>
        </w:numPr>
        <w:suppressAutoHyphens/>
        <w:spacing w:line="480" w:lineRule="auto"/>
        <w:rPr>
          <w:rFonts w:ascii="Times New Roman" w:hAnsi="Times New Roman" w:cs="Times New Roman"/>
          <w:u w:val="single"/>
        </w:rPr>
      </w:pPr>
      <w:r w:rsidRPr="000F007C">
        <w:rPr>
          <w:rFonts w:ascii="Times New Roman" w:hAnsi="Times New Roman" w:cs="Times New Roman"/>
          <w:u w:val="single"/>
        </w:rPr>
        <w:t>Network Adequacy (45 C.F.R. § 156.230)</w:t>
      </w:r>
    </w:p>
    <w:p w14:paraId="5FCA17EE" w14:textId="77777777" w:rsidR="009775A0" w:rsidRPr="000F007C" w:rsidRDefault="009775A0" w:rsidP="009775A0">
      <w:pPr>
        <w:suppressAutoHyphens/>
        <w:spacing w:line="480" w:lineRule="auto"/>
        <w:ind w:firstLine="720"/>
        <w:rPr>
          <w:rFonts w:ascii="Times New Roman" w:hAnsi="Times New Roman" w:cs="Times New Roman"/>
        </w:rPr>
      </w:pPr>
      <w:r w:rsidRPr="000F007C">
        <w:rPr>
          <w:rFonts w:ascii="Times New Roman" w:hAnsi="Times New Roman" w:cs="Times New Roman"/>
        </w:rPr>
        <w:t>Issuers of qualified health plans (QHPs) are required to maintain a network that is sufficient in number and types of providers, including specialists to assure that all services will be accessible without unreasonable delay.</w:t>
      </w:r>
      <w:r w:rsidRPr="000F007C">
        <w:rPr>
          <w:rStyle w:val="FootnoteReference"/>
          <w:rFonts w:ascii="Times New Roman" w:hAnsi="Times New Roman" w:cs="Times New Roman"/>
        </w:rPr>
        <w:footnoteReference w:id="46"/>
      </w:r>
      <w:r w:rsidRPr="000F007C">
        <w:rPr>
          <w:rFonts w:ascii="Times New Roman" w:hAnsi="Times New Roman" w:cs="Times New Roman"/>
        </w:rPr>
        <w:t xml:space="preserve">  For the 2018 plan year, HHS will defer to the states to review these networks to the extent the states have the necessary authority and infrastructure already in place.  In states without such authority and means, HHS will rely on an issuer’s accreditation from an HHS-recognized accrediting authority.  Issuers that are unaccredited will be required to submit access plans to HHS as part of their QHP applications.</w:t>
      </w:r>
      <w:r w:rsidRPr="000F007C">
        <w:rPr>
          <w:rStyle w:val="FootnoteReference"/>
          <w:rFonts w:ascii="Times New Roman" w:hAnsi="Times New Roman" w:cs="Times New Roman"/>
        </w:rPr>
        <w:t xml:space="preserve"> </w:t>
      </w:r>
      <w:r w:rsidRPr="000F007C">
        <w:rPr>
          <w:rStyle w:val="FootnoteReference"/>
          <w:rFonts w:ascii="Times New Roman" w:hAnsi="Times New Roman" w:cs="Times New Roman"/>
        </w:rPr>
        <w:footnoteReference w:id="47"/>
      </w:r>
      <w:r w:rsidRPr="000F007C">
        <w:rPr>
          <w:rFonts w:ascii="Times New Roman" w:hAnsi="Times New Roman" w:cs="Times New Roman"/>
        </w:rPr>
        <w:t xml:space="preserve"> </w:t>
      </w:r>
    </w:p>
    <w:p w14:paraId="6704FBB2" w14:textId="77777777" w:rsidR="009775A0" w:rsidRPr="000F007C" w:rsidRDefault="009775A0" w:rsidP="009775A0">
      <w:pPr>
        <w:suppressAutoHyphens/>
        <w:spacing w:line="480" w:lineRule="auto"/>
        <w:ind w:firstLine="720"/>
        <w:rPr>
          <w:rFonts w:ascii="Times New Roman" w:hAnsi="Times New Roman" w:cs="Times New Roman"/>
        </w:rPr>
      </w:pPr>
      <w:r w:rsidRPr="000F007C">
        <w:rPr>
          <w:rFonts w:ascii="Times New Roman" w:eastAsia="Times New Roman" w:hAnsi="Times New Roman" w:cs="Times New Roman"/>
        </w:rPr>
        <w:t>The insurance industry supported this approach, and generally encouraged HHS to defer to states as much as possible in this regard.</w:t>
      </w:r>
      <w:r w:rsidRPr="000F007C">
        <w:rPr>
          <w:rStyle w:val="FootnoteReference"/>
          <w:rFonts w:ascii="Times New Roman" w:eastAsia="Times New Roman" w:hAnsi="Times New Roman" w:cs="Times New Roman"/>
        </w:rPr>
        <w:footnoteReference w:id="48"/>
      </w:r>
      <w:r w:rsidRPr="000F007C">
        <w:rPr>
          <w:rFonts w:ascii="Times New Roman" w:eastAsia="Times New Roman" w:hAnsi="Times New Roman" w:cs="Times New Roman"/>
        </w:rPr>
        <w:t xml:space="preserve">  </w:t>
      </w:r>
      <w:r w:rsidRPr="000F007C">
        <w:rPr>
          <w:rFonts w:ascii="Times New Roman" w:hAnsi="Times New Roman" w:cs="Times New Roman"/>
        </w:rPr>
        <w:t xml:space="preserve">The National Association of Insurance Commissioners also expressed its support for the revisions to the network adequacy standards, </w:t>
      </w:r>
      <w:proofErr w:type="gramStart"/>
      <w:r w:rsidRPr="000F007C">
        <w:rPr>
          <w:rFonts w:ascii="Times New Roman" w:hAnsi="Times New Roman" w:cs="Times New Roman"/>
        </w:rPr>
        <w:t>arguing that</w:t>
      </w:r>
      <w:proofErr w:type="gramEnd"/>
      <w:r w:rsidRPr="000F007C">
        <w:rPr>
          <w:rFonts w:ascii="Times New Roman" w:hAnsi="Times New Roman" w:cs="Times New Roman"/>
        </w:rPr>
        <w:t xml:space="preserve"> “State regulators have expressed for many years their opposition to unnecessary federal interference in network adequacy review. </w:t>
      </w:r>
      <w:r>
        <w:rPr>
          <w:rFonts w:ascii="Times New Roman" w:hAnsi="Times New Roman" w:cs="Times New Roman"/>
        </w:rPr>
        <w:t xml:space="preserve"> </w:t>
      </w:r>
      <w:r w:rsidRPr="000F007C">
        <w:rPr>
          <w:rFonts w:ascii="Times New Roman" w:hAnsi="Times New Roman" w:cs="Times New Roman"/>
        </w:rPr>
        <w:t>This interference has proven costly to carriers without increasing protections for consumers.”</w:t>
      </w:r>
      <w:bookmarkStart w:id="2" w:name="_Ref493842947"/>
      <w:r w:rsidRPr="000F007C">
        <w:rPr>
          <w:rStyle w:val="FootnoteReference"/>
          <w:rFonts w:ascii="Times New Roman" w:hAnsi="Times New Roman" w:cs="Times New Roman"/>
        </w:rPr>
        <w:footnoteReference w:id="49"/>
      </w:r>
      <w:bookmarkEnd w:id="2"/>
    </w:p>
    <w:p w14:paraId="4538CDA1" w14:textId="77777777" w:rsidR="009775A0" w:rsidRPr="000F007C" w:rsidRDefault="009775A0" w:rsidP="009775A0">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eastAsia="Times New Roman" w:hAnsi="Times New Roman" w:cs="Times New Roman"/>
          <w:shd w:val="clear" w:color="auto" w:fill="FFFFFF"/>
        </w:rPr>
        <w:t>In its Actuarial Memorandum, Cigna re</w:t>
      </w:r>
      <w:r>
        <w:rPr>
          <w:rFonts w:ascii="Times New Roman" w:eastAsia="Times New Roman" w:hAnsi="Times New Roman" w:cs="Times New Roman"/>
          <w:shd w:val="clear" w:color="auto" w:fill="FFFFFF"/>
        </w:rPr>
        <w:t>ferred</w:t>
      </w:r>
      <w:r w:rsidRPr="000F007C">
        <w:rPr>
          <w:rFonts w:ascii="Times New Roman" w:eastAsia="Times New Roman" w:hAnsi="Times New Roman" w:cs="Times New Roman"/>
          <w:shd w:val="clear" w:color="auto" w:fill="FFFFFF"/>
        </w:rPr>
        <w:t xml:space="preserve"> to taking into account “the level of enforcement” in calculating changes to morbidity.</w:t>
      </w:r>
      <w:r>
        <w:rPr>
          <w:rStyle w:val="FootnoteReference"/>
          <w:rFonts w:ascii="Times New Roman" w:eastAsia="Times New Roman" w:hAnsi="Times New Roman" w:cs="Times New Roman"/>
          <w:shd w:val="clear" w:color="auto" w:fill="FFFFFF"/>
        </w:rPr>
        <w:footnoteReference w:id="50"/>
      </w:r>
      <w:r>
        <w:rPr>
          <w:rFonts w:ascii="Times New Roman" w:eastAsia="Times New Roman" w:hAnsi="Times New Roman" w:cs="Times New Roman"/>
          <w:shd w:val="clear" w:color="auto" w:fill="FFFFFF"/>
        </w:rPr>
        <w:t xml:space="preserve">  Yet Cigna then redacted</w:t>
      </w:r>
      <w:r w:rsidRPr="000F007C">
        <w:rPr>
          <w:rFonts w:ascii="Times New Roman" w:eastAsia="Times New Roman" w:hAnsi="Times New Roman" w:cs="Times New Roman"/>
          <w:shd w:val="clear" w:color="auto" w:fill="FFFFFF"/>
        </w:rPr>
        <w:t xml:space="preserve"> what little data</w:t>
      </w:r>
      <w:r>
        <w:rPr>
          <w:rFonts w:ascii="Times New Roman" w:eastAsia="Times New Roman" w:hAnsi="Times New Roman" w:cs="Times New Roman"/>
          <w:shd w:val="clear" w:color="auto" w:fill="FFFFFF"/>
        </w:rPr>
        <w:t xml:space="preserve"> it provided and otherwise failed</w:t>
      </w:r>
      <w:r w:rsidRPr="000F007C">
        <w:rPr>
          <w:rFonts w:ascii="Times New Roman" w:eastAsia="Times New Roman" w:hAnsi="Times New Roman" w:cs="Times New Roman"/>
          <w:shd w:val="clear" w:color="auto" w:fill="FFFFFF"/>
        </w:rPr>
        <w:t xml:space="preserve"> to explain in what ways and to what extent it took enforcement into account in its calculations.  The Department should insist that Cigna clarify how its expectations around enforcement, including any effects from the HHS’s decision to defer to state review of networks, were reflected in its rate filing.</w:t>
      </w:r>
      <w:r>
        <w:rPr>
          <w:rFonts w:ascii="Times New Roman" w:eastAsia="Times New Roman" w:hAnsi="Times New Roman" w:cs="Times New Roman"/>
          <w:shd w:val="clear" w:color="auto" w:fill="FFFFFF"/>
        </w:rPr>
        <w:t xml:space="preserve"> </w:t>
      </w:r>
      <w:r w:rsidRPr="000F007C">
        <w:rPr>
          <w:rFonts w:ascii="Times New Roman" w:eastAsia="Times New Roman" w:hAnsi="Times New Roman" w:cs="Times New Roman"/>
          <w:shd w:val="clear" w:color="auto" w:fill="FFFFFF"/>
        </w:rPr>
        <w:t xml:space="preserve"> </w:t>
      </w:r>
      <w:r>
        <w:rPr>
          <w:rFonts w:ascii="Times New Roman" w:hAnsi="Times New Roman" w:cs="Times New Roman"/>
        </w:rPr>
        <w:t>Absent further elaboration on this matter</w:t>
      </w:r>
      <w:r>
        <w:rPr>
          <w:rFonts w:ascii="Times New Roman" w:eastAsia="Times New Roman" w:hAnsi="Times New Roman" w:cs="Times New Roman"/>
          <w:shd w:val="clear" w:color="auto" w:fill="FFFFFF"/>
        </w:rPr>
        <w:t>, the Department should deem Cigna’s proposed rate increases unjustified and thus unreasonable.</w:t>
      </w:r>
    </w:p>
    <w:p w14:paraId="2F357DE5" w14:textId="77777777" w:rsidR="009775A0" w:rsidRPr="000F007C" w:rsidRDefault="009775A0" w:rsidP="009775A0">
      <w:pPr>
        <w:pStyle w:val="ListParagraph"/>
        <w:numPr>
          <w:ilvl w:val="0"/>
          <w:numId w:val="6"/>
        </w:numPr>
        <w:suppressAutoHyphens/>
        <w:spacing w:line="480" w:lineRule="auto"/>
        <w:rPr>
          <w:rFonts w:ascii="Times New Roman" w:hAnsi="Times New Roman" w:cs="Times New Roman"/>
          <w:u w:val="single"/>
        </w:rPr>
      </w:pPr>
      <w:r w:rsidRPr="000F007C">
        <w:rPr>
          <w:rFonts w:ascii="Times New Roman" w:hAnsi="Times New Roman" w:cs="Times New Roman"/>
          <w:u w:val="single"/>
        </w:rPr>
        <w:t>Essential Community Providers (45 C.F.R. § 156.235)</w:t>
      </w:r>
    </w:p>
    <w:p w14:paraId="322B7CF4" w14:textId="77777777" w:rsidR="009775A0" w:rsidRPr="000F007C" w:rsidRDefault="009775A0" w:rsidP="009775A0">
      <w:pPr>
        <w:suppressAutoHyphens/>
        <w:spacing w:line="480" w:lineRule="auto"/>
        <w:ind w:firstLine="720"/>
        <w:rPr>
          <w:rFonts w:ascii="Times New Roman" w:hAnsi="Times New Roman" w:cs="Times New Roman"/>
        </w:rPr>
      </w:pPr>
      <w:r w:rsidRPr="000F007C">
        <w:rPr>
          <w:rFonts w:ascii="Times New Roman" w:hAnsi="Times New Roman" w:cs="Times New Roman"/>
        </w:rPr>
        <w:t>In evaluating whether a QHP has a sufficient number and geographic distribution of essential community providers, the network in question must include a minimum percentage of participating practitioners.</w:t>
      </w:r>
      <w:r w:rsidRPr="000F007C">
        <w:rPr>
          <w:rStyle w:val="FootnoteReference"/>
          <w:rFonts w:ascii="Times New Roman" w:hAnsi="Times New Roman" w:cs="Times New Roman"/>
        </w:rPr>
        <w:footnoteReference w:id="51"/>
      </w:r>
      <w:r w:rsidRPr="000F007C">
        <w:rPr>
          <w:rFonts w:ascii="Times New Roman" w:hAnsi="Times New Roman" w:cs="Times New Roman"/>
        </w:rPr>
        <w:t xml:space="preserve">  For the 2014 plan year, HHS set the minimum percentage of participating practitioners at 20% but in subsequent years it increased this threshold to 30%.</w:t>
      </w:r>
      <w:r w:rsidRPr="000F007C">
        <w:rPr>
          <w:rStyle w:val="FootnoteReference"/>
          <w:rFonts w:ascii="Times New Roman" w:hAnsi="Times New Roman" w:cs="Times New Roman"/>
        </w:rPr>
        <w:footnoteReference w:id="52"/>
      </w:r>
      <w:r w:rsidRPr="000F007C">
        <w:rPr>
          <w:rFonts w:ascii="Times New Roman" w:hAnsi="Times New Roman" w:cs="Times New Roman"/>
        </w:rPr>
        <w:t xml:space="preserve"> For the 2018 plan year, HHS has gone back to a 20% threshold, </w:t>
      </w:r>
      <w:proofErr w:type="gramStart"/>
      <w:r w:rsidRPr="000F007C">
        <w:rPr>
          <w:rFonts w:ascii="Times New Roman" w:hAnsi="Times New Roman" w:cs="Times New Roman"/>
        </w:rPr>
        <w:t>explaining that</w:t>
      </w:r>
      <w:proofErr w:type="gramEnd"/>
      <w:r w:rsidRPr="000F007C">
        <w:rPr>
          <w:rFonts w:ascii="Times New Roman" w:hAnsi="Times New Roman" w:cs="Times New Roman"/>
        </w:rPr>
        <w:t xml:space="preserve"> “less expansive requirements for network size will lead to both costs and cost savings.”</w:t>
      </w:r>
      <w:r w:rsidRPr="000F007C">
        <w:rPr>
          <w:rStyle w:val="FootnoteReference"/>
          <w:rFonts w:ascii="Times New Roman" w:hAnsi="Times New Roman" w:cs="Times New Roman"/>
        </w:rPr>
        <w:footnoteReference w:id="53"/>
      </w:r>
      <w:r w:rsidRPr="000F007C">
        <w:rPr>
          <w:rFonts w:ascii="Times New Roman" w:hAnsi="Times New Roman" w:cs="Times New Roman"/>
        </w:rPr>
        <w:t xml:space="preserve"> The cost savings would most likely result from reductions in administrative costs associated with being in compliance with QHP requirements.  HHS also expects cost savings to arise from issuers focusing their networks on low-cost providers.</w:t>
      </w:r>
      <w:r w:rsidRPr="000F007C">
        <w:rPr>
          <w:rStyle w:val="FootnoteReference"/>
          <w:rFonts w:ascii="Times New Roman" w:hAnsi="Times New Roman" w:cs="Times New Roman"/>
        </w:rPr>
        <w:footnoteReference w:id="54"/>
      </w:r>
    </w:p>
    <w:p w14:paraId="49657069" w14:textId="77777777" w:rsidR="009775A0" w:rsidRPr="000F007C" w:rsidRDefault="009775A0" w:rsidP="009775A0">
      <w:pPr>
        <w:suppressAutoHyphens/>
        <w:spacing w:line="480" w:lineRule="auto"/>
        <w:ind w:firstLine="720"/>
        <w:rPr>
          <w:rFonts w:ascii="Times New Roman" w:hAnsi="Times New Roman" w:cs="Times New Roman"/>
          <w:u w:val="single"/>
        </w:rPr>
      </w:pPr>
      <w:r w:rsidRPr="000F007C">
        <w:rPr>
          <w:rFonts w:ascii="Times New Roman" w:eastAsia="Times New Roman" w:hAnsi="Times New Roman" w:cs="Times New Roman"/>
        </w:rPr>
        <w:t xml:space="preserve">Issuers supported </w:t>
      </w:r>
      <w:r w:rsidRPr="000F007C">
        <w:rPr>
          <w:rFonts w:ascii="Times New Roman" w:eastAsia="Times New Roman" w:hAnsi="Times New Roman" w:cs="Times New Roman"/>
          <w:shd w:val="clear" w:color="auto" w:fill="FFFFFF"/>
        </w:rPr>
        <w:t>this decrease in the percentage of ECPs required in QHPs</w:t>
      </w:r>
      <w:r w:rsidRPr="000F007C">
        <w:rPr>
          <w:rFonts w:ascii="Times New Roman" w:eastAsia="Times New Roman" w:hAnsi="Times New Roman" w:cs="Times New Roman"/>
        </w:rPr>
        <w:t>, acknowledging that this change will reduce their administrative burden.</w:t>
      </w:r>
      <w:r w:rsidRPr="000F007C">
        <w:rPr>
          <w:rStyle w:val="FootnoteReference"/>
          <w:rFonts w:ascii="Times New Roman" w:eastAsia="Times New Roman" w:hAnsi="Times New Roman" w:cs="Times New Roman"/>
        </w:rPr>
        <w:footnoteReference w:id="55"/>
      </w:r>
      <w:r w:rsidRPr="000F007C">
        <w:rPr>
          <w:rFonts w:ascii="Times New Roman" w:eastAsia="Times New Roman" w:hAnsi="Times New Roman" w:cs="Times New Roman"/>
        </w:rPr>
        <w:t xml:space="preserve">  </w:t>
      </w:r>
      <w:r w:rsidRPr="000F007C">
        <w:rPr>
          <w:rFonts w:ascii="Times New Roman" w:hAnsi="Times New Roman" w:cs="Times New Roman"/>
        </w:rPr>
        <w:t>Similarly, the National Association of Insurance Commissioners voiced their support for reducing the Essential Community Provider threshold to 20% because it will, “[</w:t>
      </w:r>
      <w:proofErr w:type="gramStart"/>
      <w:r w:rsidRPr="000F007C">
        <w:rPr>
          <w:rFonts w:ascii="Times New Roman" w:hAnsi="Times New Roman" w:cs="Times New Roman"/>
        </w:rPr>
        <w:t>A]</w:t>
      </w:r>
      <w:proofErr w:type="spellStart"/>
      <w:r w:rsidRPr="000F007C">
        <w:rPr>
          <w:rFonts w:ascii="Times New Roman" w:hAnsi="Times New Roman" w:cs="Times New Roman"/>
        </w:rPr>
        <w:t>llow</w:t>
      </w:r>
      <w:proofErr w:type="spellEnd"/>
      <w:proofErr w:type="gramEnd"/>
      <w:r w:rsidRPr="000F007C">
        <w:rPr>
          <w:rFonts w:ascii="Times New Roman" w:hAnsi="Times New Roman" w:cs="Times New Roman"/>
        </w:rPr>
        <w:t xml:space="preserve"> more insurers to cover rural and underserved areas…</w:t>
      </w:r>
      <w:proofErr w:type="spellStart"/>
      <w:r w:rsidRPr="000F007C">
        <w:rPr>
          <w:rFonts w:ascii="Times New Roman" w:hAnsi="Times New Roman" w:cs="Times New Roman"/>
        </w:rPr>
        <w:t>mak</w:t>
      </w:r>
      <w:proofErr w:type="spellEnd"/>
      <w:r w:rsidRPr="000F007C">
        <w:rPr>
          <w:rFonts w:ascii="Times New Roman" w:hAnsi="Times New Roman" w:cs="Times New Roman"/>
        </w:rPr>
        <w:t>[</w:t>
      </w:r>
      <w:proofErr w:type="spellStart"/>
      <w:r w:rsidRPr="000F007C">
        <w:rPr>
          <w:rFonts w:ascii="Times New Roman" w:hAnsi="Times New Roman" w:cs="Times New Roman"/>
        </w:rPr>
        <w:t>ing</w:t>
      </w:r>
      <w:proofErr w:type="spellEnd"/>
      <w:r w:rsidRPr="000F007C">
        <w:rPr>
          <w:rFonts w:ascii="Times New Roman" w:hAnsi="Times New Roman" w:cs="Times New Roman"/>
        </w:rPr>
        <w:t>] it easier for carriers to enter into contracts and provide coverage in rural and underserved areas.”</w:t>
      </w:r>
      <w:r w:rsidRPr="000F007C">
        <w:rPr>
          <w:rStyle w:val="FootnoteReference"/>
          <w:rFonts w:ascii="Times New Roman" w:hAnsi="Times New Roman" w:cs="Times New Roman"/>
        </w:rPr>
        <w:footnoteReference w:id="56"/>
      </w:r>
    </w:p>
    <w:p w14:paraId="539648D4" w14:textId="77777777" w:rsidR="009775A0" w:rsidRPr="000F007C" w:rsidRDefault="009775A0" w:rsidP="009775A0">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eastAsia="Times New Roman" w:hAnsi="Times New Roman" w:cs="Times New Roman"/>
          <w:shd w:val="clear" w:color="auto" w:fill="FFFFFF"/>
        </w:rPr>
        <w:t xml:space="preserve">Given the anticipated reduction in administrative costs on issuers, this change should be reflected in issuers’ 2018 rate justifications. However, even though </w:t>
      </w:r>
      <w:r w:rsidRPr="000F007C">
        <w:rPr>
          <w:rFonts w:ascii="Times New Roman" w:eastAsia="Times New Roman" w:hAnsi="Times New Roman" w:cs="Times New Roman"/>
        </w:rPr>
        <w:t xml:space="preserve">Cigna was included amongst those companies who supported this shift, it failed to account for this change anywhere in its rate filing. </w:t>
      </w:r>
      <w:r w:rsidRPr="000F007C">
        <w:rPr>
          <w:rFonts w:ascii="Times New Roman" w:eastAsia="Times New Roman" w:hAnsi="Times New Roman" w:cs="Times New Roman"/>
          <w:shd w:val="clear" w:color="auto" w:fill="FFFFFF"/>
        </w:rPr>
        <w:t xml:space="preserve">The Department should insist that Cigna clarify whether this change was reflected in its calculations and, if not, to update </w:t>
      </w:r>
      <w:proofErr w:type="gramStart"/>
      <w:r w:rsidRPr="000F007C">
        <w:rPr>
          <w:rFonts w:ascii="Times New Roman" w:eastAsia="Times New Roman" w:hAnsi="Times New Roman" w:cs="Times New Roman"/>
          <w:shd w:val="clear" w:color="auto" w:fill="FFFFFF"/>
        </w:rPr>
        <w:t>its</w:t>
      </w:r>
      <w:proofErr w:type="gramEnd"/>
      <w:r w:rsidRPr="000F007C">
        <w:rPr>
          <w:rFonts w:ascii="Times New Roman" w:eastAsia="Times New Roman" w:hAnsi="Times New Roman" w:cs="Times New Roman"/>
          <w:shd w:val="clear" w:color="auto" w:fill="FFFFFF"/>
        </w:rPr>
        <w:t xml:space="preserve"> rate filing accordingly.</w:t>
      </w:r>
      <w:r>
        <w:rPr>
          <w:rFonts w:ascii="Times New Roman" w:eastAsia="Times New Roman" w:hAnsi="Times New Roman" w:cs="Times New Roman"/>
          <w:shd w:val="clear" w:color="auto" w:fill="FFFFFF"/>
        </w:rPr>
        <w:t xml:space="preserve">  </w:t>
      </w:r>
      <w:r>
        <w:rPr>
          <w:rFonts w:ascii="Times New Roman" w:hAnsi="Times New Roman" w:cs="Times New Roman"/>
        </w:rPr>
        <w:t>Absent further elaboration on this matter</w:t>
      </w:r>
      <w:r>
        <w:rPr>
          <w:rFonts w:ascii="Times New Roman" w:eastAsia="Times New Roman" w:hAnsi="Times New Roman" w:cs="Times New Roman"/>
          <w:shd w:val="clear" w:color="auto" w:fill="FFFFFF"/>
        </w:rPr>
        <w:t>, the Department should deem Cigna’s proposed rate increases unjustified and thus unreasonable.</w:t>
      </w:r>
    </w:p>
    <w:p w14:paraId="4774E14E" w14:textId="77777777" w:rsidR="009775A0" w:rsidRPr="000F007C" w:rsidRDefault="009775A0" w:rsidP="009775A0">
      <w:pPr>
        <w:suppressAutoHyphens/>
        <w:spacing w:line="480" w:lineRule="auto"/>
        <w:rPr>
          <w:rFonts w:ascii="Times New Roman" w:eastAsia="Times New Roman" w:hAnsi="Times New Roman" w:cs="Times New Roman"/>
          <w:shd w:val="clear" w:color="auto" w:fill="FFFFFF"/>
        </w:rPr>
      </w:pPr>
      <w:r w:rsidRPr="000F007C">
        <w:rPr>
          <w:rFonts w:ascii="Times New Roman" w:eastAsia="Times New Roman" w:hAnsi="Times New Roman" w:cs="Times New Roman"/>
          <w:b/>
          <w:shd w:val="clear" w:color="auto" w:fill="FFFFFF"/>
        </w:rPr>
        <w:t>IV. Conclusion</w:t>
      </w:r>
    </w:p>
    <w:p w14:paraId="69F44393" w14:textId="77777777" w:rsidR="009775A0" w:rsidRPr="000F007C" w:rsidRDefault="009775A0" w:rsidP="009775A0">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eastAsia="Times New Roman" w:hAnsi="Times New Roman" w:cs="Times New Roman"/>
          <w:shd w:val="clear" w:color="auto" w:fill="FFFFFF"/>
        </w:rPr>
        <w:t xml:space="preserve">Cigna has not adequately explained in its Actuarial Memorandum why a 35.0% increase is justified.  The Department should insist that Cigna elaborate on the assumptions it made, without unnecessary redactions, and account for the impact of the various changes in the Market Stabilization Rule that should put a downward pressure on rates.  </w:t>
      </w:r>
      <w:r>
        <w:rPr>
          <w:rFonts w:ascii="Times New Roman" w:eastAsia="Times New Roman" w:hAnsi="Times New Roman" w:cs="Times New Roman"/>
          <w:shd w:val="clear" w:color="auto" w:fill="FFFFFF"/>
        </w:rPr>
        <w:t>If Cigna is unable to adequately respond to these concerns,</w:t>
      </w:r>
      <w:r w:rsidRPr="000F007C">
        <w:rPr>
          <w:rFonts w:ascii="Times New Roman" w:eastAsia="Times New Roman" w:hAnsi="Times New Roman" w:cs="Times New Roman"/>
          <w:shd w:val="clear" w:color="auto" w:fill="FFFFFF"/>
        </w:rPr>
        <w:t xml:space="preserve"> the Department should deem Cigna’s proposed rate increase unreasonable.  </w:t>
      </w:r>
    </w:p>
    <w:p w14:paraId="4C702B92" w14:textId="77777777" w:rsidR="00B2125C" w:rsidRPr="00737901" w:rsidRDefault="00B2125C" w:rsidP="00737901">
      <w:pPr>
        <w:rPr>
          <w:rFonts w:ascii="Helvetica" w:hAnsi="Helvetica" w:cs="Calibri"/>
        </w:rPr>
      </w:pPr>
    </w:p>
    <w:sectPr w:rsidR="00B2125C" w:rsidRPr="00737901" w:rsidSect="00E26925">
      <w:footerReference w:type="even" r:id="rId10"/>
      <w:footerReference w:type="default" r:id="rId11"/>
      <w:pgSz w:w="12240" w:h="15840"/>
      <w:pgMar w:top="360" w:right="1440" w:bottom="36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8CF0" w14:textId="77777777" w:rsidR="0050243A" w:rsidRDefault="0050243A" w:rsidP="009D4EBC">
      <w:r>
        <w:separator/>
      </w:r>
    </w:p>
  </w:endnote>
  <w:endnote w:type="continuationSeparator" w:id="0">
    <w:p w14:paraId="2D1E108C" w14:textId="77777777" w:rsidR="0050243A" w:rsidRDefault="0050243A" w:rsidP="009D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E0CF1" w14:textId="77777777" w:rsidR="0050243A" w:rsidRDefault="0050243A" w:rsidP="00282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01F50" w14:textId="77777777" w:rsidR="0050243A" w:rsidRDefault="005024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30D7F" w14:textId="77777777" w:rsidR="0050243A" w:rsidRDefault="0050243A" w:rsidP="00282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ADB">
      <w:rPr>
        <w:rStyle w:val="PageNumber"/>
        <w:noProof/>
      </w:rPr>
      <w:t>13</w:t>
    </w:r>
    <w:r>
      <w:rPr>
        <w:rStyle w:val="PageNumber"/>
      </w:rPr>
      <w:fldChar w:fldCharType="end"/>
    </w:r>
  </w:p>
  <w:p w14:paraId="4E19DF29" w14:textId="77777777" w:rsidR="0050243A" w:rsidRDefault="005024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31589" w14:textId="77777777" w:rsidR="0050243A" w:rsidRDefault="0050243A" w:rsidP="009D4EBC">
      <w:r>
        <w:separator/>
      </w:r>
    </w:p>
  </w:footnote>
  <w:footnote w:type="continuationSeparator" w:id="0">
    <w:p w14:paraId="2D198794" w14:textId="77777777" w:rsidR="0050243A" w:rsidRDefault="0050243A" w:rsidP="009D4EBC">
      <w:r>
        <w:continuationSeparator/>
      </w:r>
    </w:p>
  </w:footnote>
  <w:footnote w:id="1">
    <w:p w14:paraId="5AD1613A"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r w:rsidRPr="00EE4855">
        <w:rPr>
          <w:rFonts w:ascii="Times New Roman" w:eastAsia="Times New Roman" w:hAnsi="Times New Roman" w:cs="Times New Roman"/>
          <w:sz w:val="20"/>
          <w:szCs w:val="20"/>
        </w:rPr>
        <w:t xml:space="preserve">Healthy Alliance Life Insurance Company, for example, provided their assumed trend of 13.3% to the public.  Healthy </w:t>
      </w:r>
      <w:proofErr w:type="gramStart"/>
      <w:r w:rsidRPr="00EE4855">
        <w:rPr>
          <w:rFonts w:ascii="Times New Roman" w:eastAsia="Times New Roman" w:hAnsi="Times New Roman" w:cs="Times New Roman"/>
          <w:sz w:val="20"/>
          <w:szCs w:val="20"/>
        </w:rPr>
        <w:t>Alliance,</w:t>
      </w:r>
      <w:proofErr w:type="gramEnd"/>
      <w:r w:rsidRPr="00EE4855">
        <w:rPr>
          <w:rFonts w:ascii="Times New Roman" w:eastAsia="Times New Roman" w:hAnsi="Times New Roman" w:cs="Times New Roman"/>
          <w:sz w:val="20"/>
          <w:szCs w:val="20"/>
        </w:rPr>
        <w:t xml:space="preserve"> also provided its projected medical loss ratio (“MLR”) calculation, which Cigna redacted.</w:t>
      </w:r>
    </w:p>
  </w:footnote>
  <w:footnote w:id="2">
    <w:p w14:paraId="2D8BCD75"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Chris </w:t>
      </w:r>
      <w:proofErr w:type="spellStart"/>
      <w:r w:rsidRPr="00EE4855">
        <w:rPr>
          <w:rFonts w:ascii="Times New Roman" w:hAnsi="Times New Roman" w:cs="Times New Roman"/>
          <w:sz w:val="20"/>
          <w:szCs w:val="20"/>
        </w:rPr>
        <w:t>Girod</w:t>
      </w:r>
      <w:proofErr w:type="spellEnd"/>
      <w:r w:rsidRPr="00EE4855">
        <w:rPr>
          <w:rFonts w:ascii="Times New Roman" w:hAnsi="Times New Roman" w:cs="Times New Roman"/>
          <w:sz w:val="20"/>
          <w:szCs w:val="20"/>
        </w:rPr>
        <w:t xml:space="preserve"> et al., </w:t>
      </w:r>
      <w:r w:rsidRPr="00EE4855">
        <w:rPr>
          <w:rFonts w:ascii="Times New Roman" w:hAnsi="Times New Roman" w:cs="Times New Roman"/>
          <w:i/>
          <w:sz w:val="20"/>
          <w:szCs w:val="20"/>
        </w:rPr>
        <w:t xml:space="preserve">2017 </w:t>
      </w:r>
      <w:proofErr w:type="spellStart"/>
      <w:r w:rsidRPr="00EE4855">
        <w:rPr>
          <w:rFonts w:ascii="Times New Roman" w:hAnsi="Times New Roman" w:cs="Times New Roman"/>
          <w:i/>
          <w:sz w:val="20"/>
          <w:szCs w:val="20"/>
        </w:rPr>
        <w:t>Milliman</w:t>
      </w:r>
      <w:proofErr w:type="spellEnd"/>
      <w:r w:rsidRPr="00EE4855">
        <w:rPr>
          <w:rFonts w:ascii="Times New Roman" w:hAnsi="Times New Roman" w:cs="Times New Roman"/>
          <w:i/>
          <w:sz w:val="20"/>
          <w:szCs w:val="20"/>
        </w:rPr>
        <w:t xml:space="preserve"> Medical Index</w:t>
      </w:r>
      <w:r w:rsidRPr="00EE4855">
        <w:rPr>
          <w:rFonts w:ascii="Times New Roman" w:hAnsi="Times New Roman" w:cs="Times New Roman"/>
          <w:sz w:val="20"/>
          <w:szCs w:val="20"/>
        </w:rPr>
        <w:t xml:space="preserve">, </w:t>
      </w:r>
      <w:proofErr w:type="spellStart"/>
      <w:r w:rsidRPr="00EE4855">
        <w:rPr>
          <w:rFonts w:ascii="Times New Roman" w:hAnsi="Times New Roman" w:cs="Times New Roman"/>
          <w:smallCaps/>
          <w:sz w:val="20"/>
          <w:szCs w:val="20"/>
        </w:rPr>
        <w:t>Milliman</w:t>
      </w:r>
      <w:proofErr w:type="spellEnd"/>
      <w:r w:rsidRPr="00EE4855">
        <w:rPr>
          <w:rFonts w:ascii="Times New Roman" w:hAnsi="Times New Roman" w:cs="Times New Roman"/>
          <w:smallCaps/>
          <w:sz w:val="20"/>
          <w:szCs w:val="20"/>
        </w:rPr>
        <w:t xml:space="preserve"> Research Report</w:t>
      </w:r>
      <w:r w:rsidRPr="00EE4855">
        <w:rPr>
          <w:rFonts w:ascii="Times New Roman" w:hAnsi="Times New Roman" w:cs="Times New Roman"/>
          <w:sz w:val="20"/>
          <w:szCs w:val="20"/>
        </w:rPr>
        <w:t xml:space="preserve"> 3 (May 2017), http://www.milliman.com/uploadedFiles/insight/Periodicals/mmi/2017-milliman-medical-index.pdf.</w:t>
      </w:r>
    </w:p>
  </w:footnote>
  <w:footnote w:id="3">
    <w:p w14:paraId="6755BDBF" w14:textId="77777777" w:rsidR="0050243A" w:rsidRPr="00EE4855" w:rsidRDefault="0050243A" w:rsidP="009775A0">
      <w:pPr>
        <w:pStyle w:val="FootnoteText"/>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at 4.</w:t>
      </w:r>
      <w:proofErr w:type="gramEnd"/>
    </w:p>
  </w:footnote>
  <w:footnote w:id="4">
    <w:p w14:paraId="5F5D23B9" w14:textId="77777777" w:rsidR="0050243A" w:rsidRPr="00EE4855" w:rsidRDefault="0050243A" w:rsidP="009775A0">
      <w:pPr>
        <w:pStyle w:val="FootnoteText"/>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at 3.</w:t>
      </w:r>
      <w:proofErr w:type="gramEnd"/>
    </w:p>
  </w:footnote>
  <w:footnote w:id="5">
    <w:p w14:paraId="13305A29" w14:textId="77777777" w:rsidR="0050243A" w:rsidRPr="00EE4855" w:rsidRDefault="0050243A" w:rsidP="009775A0">
      <w:pPr>
        <w:pStyle w:val="FootnoteText"/>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 xml:space="preserve">Cigna, Actuarial </w:t>
      </w:r>
      <w:proofErr w:type="spellStart"/>
      <w:r w:rsidRPr="00EE4855">
        <w:rPr>
          <w:rFonts w:ascii="Times New Roman" w:hAnsi="Times New Roman" w:cs="Times New Roman"/>
          <w:sz w:val="20"/>
          <w:szCs w:val="20"/>
        </w:rPr>
        <w:t>Mem</w:t>
      </w:r>
      <w:proofErr w:type="spellEnd"/>
      <w:r w:rsidRPr="00EE4855">
        <w:rPr>
          <w:rFonts w:ascii="Times New Roman" w:hAnsi="Times New Roman" w:cs="Times New Roman"/>
          <w:sz w:val="20"/>
          <w:szCs w:val="20"/>
        </w:rPr>
        <w:t>.</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4 (2017).</w:t>
      </w:r>
      <w:proofErr w:type="gramEnd"/>
    </w:p>
  </w:footnote>
  <w:footnote w:id="6">
    <w:p w14:paraId="40FF843A" w14:textId="77777777" w:rsidR="0050243A" w:rsidRPr="00EE4855" w:rsidRDefault="0050243A" w:rsidP="009775A0">
      <w:pPr>
        <w:pStyle w:val="FootnoteText"/>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Cigna, Written Description 1 (2017).</w:t>
      </w:r>
      <w:proofErr w:type="gramEnd"/>
    </w:p>
  </w:footnote>
  <w:footnote w:id="7">
    <w:p w14:paraId="25807ACA"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Patient Protection and Affordable Care Act; Market Stabilization, 82 Fed.</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Reg. 10,980, 10,981 (proposed Feb. 17, 2017) (hereinafter “Market Stabilization Proposed Rule”).</w:t>
      </w:r>
      <w:proofErr w:type="gramEnd"/>
    </w:p>
  </w:footnote>
  <w:footnote w:id="8">
    <w:p w14:paraId="4CF3696E"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42 U.S.C. § 300gg-1(a).</w:t>
      </w:r>
      <w:proofErr w:type="gramEnd"/>
      <w:r w:rsidRPr="00EE4855">
        <w:rPr>
          <w:rFonts w:ascii="Times New Roman" w:hAnsi="Times New Roman" w:cs="Times New Roman"/>
          <w:sz w:val="20"/>
          <w:szCs w:val="20"/>
        </w:rPr>
        <w:t xml:space="preserve"> </w:t>
      </w:r>
    </w:p>
  </w:footnote>
  <w:footnote w:id="9">
    <w:p w14:paraId="312076D4"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Market Stabilization Proposed Rule, 82 Fed. </w:t>
      </w:r>
      <w:proofErr w:type="gramStart"/>
      <w:r w:rsidRPr="00EE4855">
        <w:rPr>
          <w:rFonts w:ascii="Times New Roman" w:hAnsi="Times New Roman" w:cs="Times New Roman"/>
          <w:sz w:val="20"/>
          <w:szCs w:val="20"/>
        </w:rPr>
        <w:t>Reg. at 10,983.</w:t>
      </w:r>
      <w:proofErr w:type="gramEnd"/>
    </w:p>
  </w:footnote>
  <w:footnote w:id="10">
    <w:p w14:paraId="457B8300"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Id</w:t>
      </w:r>
      <w:r w:rsidRPr="00EE4855">
        <w:rPr>
          <w:rFonts w:ascii="Times New Roman" w:hAnsi="Times New Roman" w:cs="Times New Roman"/>
          <w:sz w:val="20"/>
          <w:szCs w:val="20"/>
        </w:rPr>
        <w:t xml:space="preserve">. (citing </w:t>
      </w:r>
      <w:r w:rsidRPr="00EE4855">
        <w:rPr>
          <w:rFonts w:ascii="Times New Roman" w:hAnsi="Times New Roman" w:cs="Times New Roman"/>
          <w:bCs/>
          <w:color w:val="373739"/>
          <w:sz w:val="20"/>
          <w:szCs w:val="20"/>
          <w:shd w:val="clear" w:color="auto" w:fill="FFFFFF"/>
        </w:rPr>
        <w:t>Patient Protection and Affordable Care Act; Health Insurance Market Rules; Rate Review,</w:t>
      </w:r>
      <w:r w:rsidRPr="00EE4855">
        <w:rPr>
          <w:rFonts w:ascii="Times New Roman" w:hAnsi="Times New Roman" w:cs="Times New Roman"/>
          <w:sz w:val="20"/>
          <w:szCs w:val="20"/>
        </w:rPr>
        <w:t xml:space="preserve"> 78 Fed. Reg.  13,406, 13,416 (Feb. 27, 2013)).</w:t>
      </w:r>
    </w:p>
  </w:footnote>
  <w:footnote w:id="11">
    <w:p w14:paraId="2E5D64A1"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bCs/>
          <w:sz w:val="20"/>
          <w:szCs w:val="20"/>
        </w:rPr>
        <w:t>Patient Protection and Affordable Care Act; Market Stabilization, 82 Fed.</w:t>
      </w:r>
      <w:proofErr w:type="gramEnd"/>
      <w:r w:rsidRPr="00EE4855">
        <w:rPr>
          <w:rFonts w:ascii="Times New Roman" w:hAnsi="Times New Roman" w:cs="Times New Roman"/>
          <w:bCs/>
          <w:sz w:val="20"/>
          <w:szCs w:val="20"/>
        </w:rPr>
        <w:t xml:space="preserve"> </w:t>
      </w:r>
      <w:proofErr w:type="gramStart"/>
      <w:r w:rsidRPr="00EE4855">
        <w:rPr>
          <w:rFonts w:ascii="Times New Roman" w:hAnsi="Times New Roman" w:cs="Times New Roman"/>
          <w:bCs/>
          <w:sz w:val="20"/>
          <w:szCs w:val="20"/>
        </w:rPr>
        <w:t>Reg. 18,346 18,377 (April 18, 2017) (hereinafter “Market Stabilization Final Rule”).</w:t>
      </w:r>
      <w:proofErr w:type="gramEnd"/>
    </w:p>
  </w:footnote>
  <w:footnote w:id="12">
    <w:p w14:paraId="4FEA2EDB" w14:textId="77777777" w:rsidR="0050243A" w:rsidRPr="00EE4855" w:rsidRDefault="0050243A" w:rsidP="009775A0">
      <w:pPr>
        <w:pStyle w:val="FootnoteText"/>
        <w:suppressAutoHyphens/>
        <w:rPr>
          <w:rFonts w:ascii="Times New Roman" w:hAnsi="Times New Roman" w:cs="Times New Roman"/>
          <w:iCs/>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Id.</w:t>
      </w:r>
      <w:r w:rsidRPr="00EE4855">
        <w:rPr>
          <w:rFonts w:ascii="Times New Roman" w:hAnsi="Times New Roman" w:cs="Times New Roman"/>
          <w:sz w:val="20"/>
          <w:szCs w:val="20"/>
        </w:rPr>
        <w:t xml:space="preserve"> (citing 2016 OEP; Reflection on enrollment, Center for U.S. Health System Reform, McKinsey &amp; Company, May 2016, available at </w:t>
      </w:r>
      <w:r w:rsidRPr="00EE4855">
        <w:rPr>
          <w:rFonts w:ascii="Times New Roman" w:hAnsi="Times New Roman" w:cs="Times New Roman"/>
          <w:i/>
          <w:iCs/>
          <w:sz w:val="20"/>
          <w:szCs w:val="20"/>
        </w:rPr>
        <w:t>http://healthcare.mckinsey.com/2016-oep-consumer-survey-findings</w:t>
      </w:r>
      <w:r w:rsidRPr="00EE4855">
        <w:rPr>
          <w:rFonts w:ascii="Times New Roman" w:hAnsi="Times New Roman" w:cs="Times New Roman"/>
          <w:iCs/>
          <w:sz w:val="20"/>
          <w:szCs w:val="20"/>
        </w:rPr>
        <w:t>).</w:t>
      </w:r>
    </w:p>
  </w:footnote>
  <w:footnote w:id="13">
    <w:p w14:paraId="66147481"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See, e.g.</w:t>
      </w:r>
      <w:r w:rsidRPr="00EE4855">
        <w:rPr>
          <w:rFonts w:ascii="Times New Roman" w:hAnsi="Times New Roman" w:cs="Times New Roman"/>
          <w:sz w:val="20"/>
          <w:szCs w:val="20"/>
        </w:rPr>
        <w:t xml:space="preserve">, Aetna, Comment Letter on Market Stabilization Proposed Rule 2, 7 (March 6, 2017), https://www.regulations.gov/document?D=CMS-2017-0021-1143; Anthem, Comment Letter on Market Stabilization Proposed Rule 9 (March 7, 2017), https://www.regulations.gov/document?D=CMS-2017-0021-3083; BlueCross Blue Shield </w:t>
      </w:r>
      <w:proofErr w:type="spellStart"/>
      <w:r w:rsidRPr="00EE4855">
        <w:rPr>
          <w:rFonts w:ascii="Times New Roman" w:hAnsi="Times New Roman" w:cs="Times New Roman"/>
          <w:sz w:val="20"/>
          <w:szCs w:val="20"/>
        </w:rPr>
        <w:t>Ass’n</w:t>
      </w:r>
      <w:proofErr w:type="spellEnd"/>
      <w:r w:rsidRPr="00EE4855">
        <w:rPr>
          <w:rFonts w:ascii="Times New Roman" w:hAnsi="Times New Roman" w:cs="Times New Roman"/>
          <w:sz w:val="20"/>
          <w:szCs w:val="20"/>
        </w:rPr>
        <w:t xml:space="preserve">, Comment Letter on Market Stabilization Proposed Rule 1, 3 (March 7, 2017), https://www.regulations.gov/document?D=CMS-2017-0021-3144;  </w:t>
      </w:r>
      <w:proofErr w:type="spellStart"/>
      <w:r w:rsidRPr="00EE4855">
        <w:rPr>
          <w:rFonts w:ascii="Times New Roman" w:hAnsi="Times New Roman" w:cs="Times New Roman"/>
          <w:sz w:val="20"/>
          <w:szCs w:val="20"/>
        </w:rPr>
        <w:t>Centene</w:t>
      </w:r>
      <w:proofErr w:type="spellEnd"/>
      <w:r w:rsidRPr="00EE4855">
        <w:rPr>
          <w:rFonts w:ascii="Times New Roman" w:hAnsi="Times New Roman" w:cs="Times New Roman"/>
          <w:sz w:val="20"/>
          <w:szCs w:val="20"/>
        </w:rPr>
        <w:t xml:space="preserve">, Comment Letter on Market Stabilization Proposed Rule 1 (March 7, 2017), https://www.regulations.gov/document?D=CMS-2017-0021-1716; Cigna, Comment Letter on Market Stabilization Proposed Rule 3 (March 7, 2017), https://www.regulations.gov/document?D=CMS-2017-0021-3237. </w:t>
      </w:r>
    </w:p>
  </w:footnote>
  <w:footnote w:id="14">
    <w:p w14:paraId="39C656C0"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Anthem,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9. </w:t>
      </w:r>
    </w:p>
  </w:footnote>
  <w:footnote w:id="15">
    <w:p w14:paraId="08FACE15"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Cigna,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w:t>
      </w:r>
    </w:p>
  </w:footnote>
  <w:footnote w:id="16">
    <w:p w14:paraId="18C0B64D" w14:textId="77777777" w:rsidR="0050243A" w:rsidRPr="00EE4855" w:rsidRDefault="0050243A" w:rsidP="009775A0">
      <w:pPr>
        <w:pStyle w:val="FootnoteText"/>
        <w:suppressAutoHyphens/>
        <w:rPr>
          <w:rFonts w:ascii="Times New Roman" w:hAnsi="Times New Roman" w:cs="Times New Roman"/>
          <w:i/>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Market Stabilization Final Rule, 82 Fed.</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Reg. at 18,354.</w:t>
      </w:r>
      <w:proofErr w:type="gramEnd"/>
    </w:p>
  </w:footnote>
  <w:footnote w:id="17">
    <w:p w14:paraId="341E6411"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at 18,346.</w:t>
      </w:r>
      <w:proofErr w:type="gramEnd"/>
    </w:p>
  </w:footnote>
  <w:footnote w:id="18">
    <w:p w14:paraId="0CF1AD95"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See</w:t>
      </w:r>
      <w:r w:rsidRPr="00EE4855">
        <w:rPr>
          <w:rFonts w:ascii="Times New Roman" w:hAnsi="Times New Roman" w:cs="Times New Roman"/>
          <w:sz w:val="20"/>
          <w:szCs w:val="20"/>
        </w:rPr>
        <w:t xml:space="preserve"> Aetna,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 Anthem,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3; Blue Cross Blue Shield </w:t>
      </w:r>
      <w:proofErr w:type="spellStart"/>
      <w:r w:rsidRPr="00EE4855">
        <w:rPr>
          <w:rFonts w:ascii="Times New Roman" w:hAnsi="Times New Roman" w:cs="Times New Roman"/>
          <w:sz w:val="20"/>
          <w:szCs w:val="20"/>
        </w:rPr>
        <w:t>Ass’n</w:t>
      </w:r>
      <w:proofErr w:type="spellEnd"/>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 xml:space="preserve">supra </w:t>
      </w:r>
      <w:r w:rsidRPr="00EE4855">
        <w:rPr>
          <w:rFonts w:ascii="Times New Roman" w:hAnsi="Times New Roman" w:cs="Times New Roman"/>
          <w:sz w:val="20"/>
          <w:szCs w:val="20"/>
        </w:rPr>
        <w:t xml:space="preserve">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5; </w:t>
      </w:r>
      <w:proofErr w:type="spellStart"/>
      <w:r w:rsidRPr="00EE4855">
        <w:rPr>
          <w:rFonts w:ascii="Times New Roman" w:hAnsi="Times New Roman" w:cs="Times New Roman"/>
          <w:sz w:val="20"/>
          <w:szCs w:val="20"/>
        </w:rPr>
        <w:t>Centene</w:t>
      </w:r>
      <w:proofErr w:type="spellEnd"/>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 Cigna,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w:t>
      </w:r>
    </w:p>
  </w:footnote>
  <w:footnote w:id="19">
    <w:p w14:paraId="2E9CD298"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Cigna,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w:t>
      </w:r>
    </w:p>
  </w:footnote>
  <w:footnote w:id="20">
    <w:p w14:paraId="5147E42A" w14:textId="77777777" w:rsidR="0050243A" w:rsidRPr="00EE4855" w:rsidRDefault="0050243A" w:rsidP="009775A0">
      <w:pPr>
        <w:pStyle w:val="FootnoteText"/>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BlueCross BlueShield, </w:t>
      </w:r>
      <w:r w:rsidRPr="00EE4855">
        <w:rPr>
          <w:rFonts w:ascii="Times New Roman" w:hAnsi="Times New Roman" w:cs="Times New Roman"/>
          <w:i/>
          <w:sz w:val="20"/>
          <w:szCs w:val="20"/>
        </w:rPr>
        <w:t xml:space="preserve">supra </w:t>
      </w:r>
      <w:r w:rsidRPr="00EE4855">
        <w:rPr>
          <w:rFonts w:ascii="Times New Roman" w:hAnsi="Times New Roman" w:cs="Times New Roman"/>
          <w:sz w:val="20"/>
          <w:szCs w:val="20"/>
        </w:rPr>
        <w:t xml:space="preserve">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EE4855">
        <w:rPr>
          <w:rFonts w:ascii="Times New Roman" w:hAnsi="Times New Roman" w:cs="Times New Roman"/>
          <w:sz w:val="20"/>
          <w:szCs w:val="20"/>
        </w:rPr>
        <w:t>at 5.</w:t>
      </w:r>
    </w:p>
  </w:footnote>
  <w:footnote w:id="21">
    <w:p w14:paraId="4E08FC05"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Anthem,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3.</w:t>
      </w:r>
    </w:p>
  </w:footnote>
  <w:footnote w:id="22">
    <w:p w14:paraId="49B920B6"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spellStart"/>
      <w:r w:rsidRPr="00EE4855">
        <w:rPr>
          <w:rFonts w:ascii="Times New Roman" w:hAnsi="Times New Roman" w:cs="Times New Roman"/>
          <w:sz w:val="20"/>
          <w:szCs w:val="20"/>
        </w:rPr>
        <w:t>Centene</w:t>
      </w:r>
      <w:proofErr w:type="spellEnd"/>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w:t>
      </w:r>
    </w:p>
  </w:footnote>
  <w:footnote w:id="23">
    <w:p w14:paraId="5E28B83D"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See</w:t>
      </w:r>
      <w:r w:rsidRPr="00EE4855">
        <w:rPr>
          <w:rFonts w:ascii="Times New Roman" w:hAnsi="Times New Roman" w:cs="Times New Roman"/>
          <w:sz w:val="20"/>
          <w:szCs w:val="20"/>
        </w:rPr>
        <w:t xml:space="preserve"> 45 C.F.R. § 155.420 (2017); Market Stabilization Final Rule, 82 Fed.</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Reg. at 18,355.</w:t>
      </w:r>
      <w:proofErr w:type="gramEnd"/>
    </w:p>
  </w:footnote>
  <w:footnote w:id="24">
    <w:p w14:paraId="5B30D8FF" w14:textId="77777777" w:rsidR="0050243A" w:rsidRPr="00EE4855" w:rsidRDefault="0050243A" w:rsidP="009775A0">
      <w:pPr>
        <w:suppressAutoHyphens/>
        <w:rPr>
          <w:rFonts w:ascii="Times New Roman" w:eastAsia="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See, e.g.</w:t>
      </w:r>
      <w:r w:rsidRPr="00EE4855">
        <w:rPr>
          <w:rFonts w:ascii="Times New Roman" w:hAnsi="Times New Roman" w:cs="Times New Roman"/>
          <w:sz w:val="20"/>
          <w:szCs w:val="20"/>
        </w:rPr>
        <w:t xml:space="preserve">, </w:t>
      </w:r>
      <w:r w:rsidRPr="00EE4855">
        <w:rPr>
          <w:rFonts w:ascii="Times New Roman" w:eastAsia="Times New Roman" w:hAnsi="Times New Roman" w:cs="Times New Roman"/>
          <w:sz w:val="20"/>
          <w:szCs w:val="20"/>
        </w:rPr>
        <w:t xml:space="preserve">Julie Appleby, </w:t>
      </w:r>
      <w:r w:rsidRPr="00EE4855">
        <w:rPr>
          <w:rFonts w:ascii="Times New Roman" w:eastAsia="Times New Roman" w:hAnsi="Times New Roman" w:cs="Times New Roman"/>
          <w:i/>
          <w:sz w:val="20"/>
          <w:szCs w:val="20"/>
        </w:rPr>
        <w:t>UnitedHealth Warns of Marketplace Exit</w:t>
      </w:r>
      <w:r w:rsidRPr="00EE4855">
        <w:rPr>
          <w:rFonts w:ascii="Times New Roman" w:eastAsia="Times New Roman" w:hAnsi="Times New Roman" w:cs="Times New Roman"/>
          <w:sz w:val="20"/>
          <w:szCs w:val="20"/>
        </w:rPr>
        <w:t xml:space="preserve">, </w:t>
      </w:r>
      <w:r w:rsidRPr="00EE4855">
        <w:rPr>
          <w:rFonts w:ascii="Times New Roman" w:eastAsia="Times New Roman" w:hAnsi="Times New Roman" w:cs="Times New Roman"/>
          <w:smallCaps/>
          <w:sz w:val="20"/>
          <w:szCs w:val="20"/>
        </w:rPr>
        <w:t>Kaiser Health News</w:t>
      </w:r>
      <w:r w:rsidRPr="00EE4855">
        <w:rPr>
          <w:rFonts w:ascii="Times New Roman" w:eastAsia="Times New Roman" w:hAnsi="Times New Roman" w:cs="Times New Roman"/>
          <w:sz w:val="20"/>
          <w:szCs w:val="20"/>
        </w:rPr>
        <w:t xml:space="preserve"> (Nov. 20, 2015), </w:t>
      </w:r>
      <w:hyperlink r:id="rId1" w:history="1">
        <w:r w:rsidRPr="00EE4855">
          <w:rPr>
            <w:rStyle w:val="Hyperlink"/>
            <w:rFonts w:ascii="Times New Roman" w:eastAsia="Times New Roman" w:hAnsi="Times New Roman" w:cs="Times New Roman"/>
            <w:sz w:val="20"/>
            <w:szCs w:val="20"/>
          </w:rPr>
          <w:t>http://khn.org/news/unitedhealth-warns-of-marketplace-exit-start-of-a-trend-or-push-for-white-houseaction/</w:t>
        </w:r>
      </w:hyperlink>
      <w:r w:rsidRPr="00EE4855">
        <w:rPr>
          <w:rFonts w:ascii="Times New Roman" w:eastAsia="Times New Roman" w:hAnsi="Times New Roman" w:cs="Times New Roman"/>
          <w:sz w:val="20"/>
          <w:szCs w:val="20"/>
        </w:rPr>
        <w:t xml:space="preserve">; Phil </w:t>
      </w:r>
      <w:proofErr w:type="spellStart"/>
      <w:r w:rsidRPr="00EE4855">
        <w:rPr>
          <w:rFonts w:ascii="Times New Roman" w:eastAsia="Times New Roman" w:hAnsi="Times New Roman" w:cs="Times New Roman"/>
          <w:sz w:val="20"/>
          <w:szCs w:val="20"/>
        </w:rPr>
        <w:t>Galewitz</w:t>
      </w:r>
      <w:proofErr w:type="spellEnd"/>
      <w:r w:rsidRPr="00EE4855">
        <w:rPr>
          <w:rFonts w:ascii="Times New Roman" w:eastAsia="Times New Roman" w:hAnsi="Times New Roman" w:cs="Times New Roman"/>
          <w:sz w:val="20"/>
          <w:szCs w:val="20"/>
        </w:rPr>
        <w:t xml:space="preserve">, </w:t>
      </w:r>
      <w:proofErr w:type="spellStart"/>
      <w:r w:rsidRPr="00EE4855">
        <w:rPr>
          <w:rFonts w:ascii="Times New Roman" w:eastAsia="Times New Roman" w:hAnsi="Times New Roman" w:cs="Times New Roman"/>
          <w:i/>
          <w:sz w:val="20"/>
          <w:szCs w:val="20"/>
        </w:rPr>
        <w:t>UnitedHealthcare</w:t>
      </w:r>
      <w:proofErr w:type="spellEnd"/>
      <w:r w:rsidRPr="00EE4855">
        <w:rPr>
          <w:rFonts w:ascii="Times New Roman" w:eastAsia="Times New Roman" w:hAnsi="Times New Roman" w:cs="Times New Roman"/>
          <w:i/>
          <w:sz w:val="20"/>
          <w:szCs w:val="20"/>
        </w:rPr>
        <w:t xml:space="preserve"> to Exit All but “Handful” of </w:t>
      </w:r>
      <w:proofErr w:type="spellStart"/>
      <w:r w:rsidRPr="00EE4855">
        <w:rPr>
          <w:rFonts w:ascii="Times New Roman" w:eastAsia="Times New Roman" w:hAnsi="Times New Roman" w:cs="Times New Roman"/>
          <w:i/>
          <w:sz w:val="20"/>
          <w:szCs w:val="20"/>
        </w:rPr>
        <w:t>Obamacare</w:t>
      </w:r>
      <w:proofErr w:type="spellEnd"/>
      <w:r w:rsidRPr="00EE4855">
        <w:rPr>
          <w:rFonts w:ascii="Times New Roman" w:eastAsia="Times New Roman" w:hAnsi="Times New Roman" w:cs="Times New Roman"/>
          <w:i/>
          <w:sz w:val="20"/>
          <w:szCs w:val="20"/>
        </w:rPr>
        <w:t xml:space="preserve"> Markets in 2017</w:t>
      </w:r>
      <w:r w:rsidRPr="00EE4855">
        <w:rPr>
          <w:rFonts w:ascii="Times New Roman" w:eastAsia="Times New Roman" w:hAnsi="Times New Roman" w:cs="Times New Roman"/>
          <w:sz w:val="20"/>
          <w:szCs w:val="20"/>
        </w:rPr>
        <w:t xml:space="preserve">, </w:t>
      </w:r>
      <w:r w:rsidRPr="00EE4855">
        <w:rPr>
          <w:rFonts w:ascii="Times New Roman" w:eastAsia="Times New Roman" w:hAnsi="Times New Roman" w:cs="Times New Roman"/>
          <w:smallCaps/>
          <w:sz w:val="20"/>
          <w:szCs w:val="20"/>
        </w:rPr>
        <w:t>Kaiser Health News</w:t>
      </w:r>
      <w:r w:rsidRPr="00EE4855">
        <w:rPr>
          <w:rFonts w:ascii="Times New Roman" w:eastAsia="Times New Roman" w:hAnsi="Times New Roman" w:cs="Times New Roman"/>
          <w:sz w:val="20"/>
          <w:szCs w:val="20"/>
        </w:rPr>
        <w:t>, April 19, 2016, http://khn.org/news/unitedhealthcare-to-exit-all-but-handful-of-obamacare-marketsin-2017/.</w:t>
      </w:r>
    </w:p>
  </w:footnote>
  <w:footnote w:id="25">
    <w:p w14:paraId="7C018A7F" w14:textId="77777777" w:rsidR="0050243A" w:rsidRPr="00EE4855" w:rsidRDefault="0050243A" w:rsidP="009775A0">
      <w:pPr>
        <w:suppressAutoHyphens/>
        <w:rPr>
          <w:rFonts w:ascii="Times New Roman" w:eastAsia="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Matthew </w:t>
      </w:r>
      <w:proofErr w:type="spellStart"/>
      <w:r w:rsidRPr="00EE4855">
        <w:rPr>
          <w:rFonts w:ascii="Times New Roman" w:hAnsi="Times New Roman" w:cs="Times New Roman"/>
          <w:sz w:val="20"/>
          <w:szCs w:val="20"/>
        </w:rPr>
        <w:t>Eyles</w:t>
      </w:r>
      <w:proofErr w:type="spellEnd"/>
      <w:r w:rsidRPr="00EE4855">
        <w:rPr>
          <w:rFonts w:ascii="Times New Roman" w:hAnsi="Times New Roman" w:cs="Times New Roman"/>
          <w:sz w:val="20"/>
          <w:szCs w:val="20"/>
        </w:rPr>
        <w:t xml:space="preserve"> &amp; Justine </w:t>
      </w:r>
      <w:proofErr w:type="spellStart"/>
      <w:r w:rsidRPr="00EE4855">
        <w:rPr>
          <w:rFonts w:ascii="Times New Roman" w:hAnsi="Times New Roman" w:cs="Times New Roman"/>
          <w:sz w:val="20"/>
          <w:szCs w:val="20"/>
        </w:rPr>
        <w:t>Handelman</w:t>
      </w:r>
      <w:proofErr w:type="spellEnd"/>
      <w:r w:rsidRPr="00EE4855">
        <w:rPr>
          <w:rFonts w:ascii="Times New Roman" w:hAnsi="Times New Roman" w:cs="Times New Roman"/>
          <w:sz w:val="20"/>
          <w:szCs w:val="20"/>
        </w:rPr>
        <w:t xml:space="preserve">, </w:t>
      </w:r>
      <w:r w:rsidRPr="00EE4855">
        <w:rPr>
          <w:rFonts w:ascii="Times New Roman" w:eastAsia="Times New Roman" w:hAnsi="Times New Roman" w:cs="Times New Roman"/>
          <w:i/>
          <w:iCs/>
          <w:sz w:val="20"/>
          <w:szCs w:val="20"/>
        </w:rPr>
        <w:t>Appropriate Use of Special Enrollment Periods Is Key to Exchange Stability, Affordability for Consumers: Misused Special Enrollment Periods Impact All Consumers through Higher Cost</w:t>
      </w:r>
      <w:r w:rsidRPr="00EE4855">
        <w:rPr>
          <w:rFonts w:ascii="Times New Roman" w:eastAsia="Times New Roman" w:hAnsi="Times New Roman" w:cs="Times New Roman"/>
          <w:sz w:val="20"/>
          <w:szCs w:val="20"/>
        </w:rPr>
        <w:t xml:space="preserve"> (February, 2016), https://www.ahip.org/wp-content/uploads/2016/03/AHIP-BCBSA-SEP-Analysis-Feb16.pdf. </w:t>
      </w:r>
    </w:p>
  </w:footnote>
  <w:footnote w:id="26">
    <w:p w14:paraId="622B1E80"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Market Stabilization Final Rule, 82 Fed.</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Reg. at 18,346, 18,355-56.</w:t>
      </w:r>
      <w:proofErr w:type="gramEnd"/>
    </w:p>
  </w:footnote>
  <w:footnote w:id="27">
    <w:p w14:paraId="2B3DF1CA"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at 18,358.</w:t>
      </w:r>
      <w:proofErr w:type="gramEnd"/>
    </w:p>
  </w:footnote>
  <w:footnote w:id="28">
    <w:p w14:paraId="02718B55"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at 18,358-59.</w:t>
      </w:r>
      <w:proofErr w:type="gramEnd"/>
    </w:p>
  </w:footnote>
  <w:footnote w:id="29">
    <w:p w14:paraId="58FAF127"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at 18,362-63.</w:t>
      </w:r>
      <w:proofErr w:type="gramEnd"/>
    </w:p>
  </w:footnote>
  <w:footnote w:id="30">
    <w:p w14:paraId="2E0244A1"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at 18,358-65.</w:t>
      </w:r>
      <w:proofErr w:type="gramEnd"/>
    </w:p>
  </w:footnote>
  <w:footnote w:id="31">
    <w:p w14:paraId="280FAEB4"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xml:space="preserve"> at 18,378.</w:t>
      </w:r>
      <w:proofErr w:type="gramEnd"/>
    </w:p>
  </w:footnote>
  <w:footnote w:id="32">
    <w:p w14:paraId="7CADFD8A"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Aetna,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 5; Anthem,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 4; BlueCross Blue Shield,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1-3; </w:t>
      </w:r>
      <w:proofErr w:type="spellStart"/>
      <w:r w:rsidRPr="00EE4855">
        <w:rPr>
          <w:rFonts w:ascii="Times New Roman" w:hAnsi="Times New Roman" w:cs="Times New Roman"/>
          <w:sz w:val="20"/>
          <w:szCs w:val="20"/>
        </w:rPr>
        <w:t>Centene</w:t>
      </w:r>
      <w:proofErr w:type="spellEnd"/>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3; Cigna, </w:t>
      </w:r>
      <w:r w:rsidRPr="00EE4855">
        <w:rPr>
          <w:rFonts w:ascii="Times New Roman" w:hAnsi="Times New Roman" w:cs="Times New Roman"/>
          <w:i/>
          <w:sz w:val="20"/>
          <w:szCs w:val="20"/>
        </w:rPr>
        <w:t xml:space="preserve">supra </w:t>
      </w:r>
      <w:r w:rsidRPr="00EE4855">
        <w:rPr>
          <w:rFonts w:ascii="Times New Roman" w:hAnsi="Times New Roman" w:cs="Times New Roman"/>
          <w:sz w:val="20"/>
          <w:szCs w:val="20"/>
        </w:rPr>
        <w:t xml:space="preserve">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2-3. </w:t>
      </w:r>
    </w:p>
  </w:footnote>
  <w:footnote w:id="33">
    <w:p w14:paraId="39E48248"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 xml:space="preserve">Id. </w:t>
      </w:r>
      <w:r w:rsidRPr="00EE4855">
        <w:rPr>
          <w:rFonts w:ascii="Times New Roman" w:hAnsi="Times New Roman" w:cs="Times New Roman"/>
          <w:sz w:val="20"/>
          <w:szCs w:val="20"/>
        </w:rPr>
        <w:t>at 2.</w:t>
      </w:r>
      <w:proofErr w:type="gramEnd"/>
    </w:p>
  </w:footnote>
  <w:footnote w:id="34">
    <w:p w14:paraId="0E66D468"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xml:space="preserve"> at 3.</w:t>
      </w:r>
      <w:proofErr w:type="gramEnd"/>
    </w:p>
  </w:footnote>
  <w:footnote w:id="35">
    <w:p w14:paraId="19EF61DD"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Anthem, </w:t>
      </w:r>
      <w:r w:rsidRPr="00EE4855">
        <w:rPr>
          <w:rFonts w:ascii="Times New Roman" w:hAnsi="Times New Roman" w:cs="Times New Roman"/>
          <w:i/>
          <w:sz w:val="20"/>
          <w:szCs w:val="20"/>
        </w:rPr>
        <w:t xml:space="preserve">supra </w:t>
      </w:r>
      <w:r w:rsidRPr="00EE4855">
        <w:rPr>
          <w:rFonts w:ascii="Times New Roman" w:hAnsi="Times New Roman" w:cs="Times New Roman"/>
          <w:sz w:val="20"/>
          <w:szCs w:val="20"/>
        </w:rPr>
        <w:t xml:space="preserve">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w:t>
      </w:r>
    </w:p>
  </w:footnote>
  <w:footnote w:id="36">
    <w:p w14:paraId="0F8A2B16"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BlueCross Blue Shield,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1-3.</w:t>
      </w:r>
    </w:p>
  </w:footnote>
  <w:footnote w:id="37">
    <w:p w14:paraId="42A3AFA0"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42 U.S.C. § 18022(d).</w:t>
      </w:r>
      <w:proofErr w:type="gramEnd"/>
    </w:p>
  </w:footnote>
  <w:footnote w:id="38">
    <w:p w14:paraId="1C9575A7" w14:textId="77777777" w:rsidR="0050243A" w:rsidRPr="00EE4855" w:rsidRDefault="0050243A" w:rsidP="009775A0">
      <w:pPr>
        <w:pStyle w:val="FootnoteText"/>
        <w:suppressAutoHyphens/>
        <w:rPr>
          <w:rFonts w:ascii="Times New Roman" w:hAnsi="Times New Roman" w:cs="Times New Roman"/>
          <w:i/>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Id.</w:t>
      </w:r>
    </w:p>
  </w:footnote>
  <w:footnote w:id="39">
    <w:p w14:paraId="2CCF4A0E" w14:textId="77777777" w:rsidR="0050243A" w:rsidRPr="00EE4855" w:rsidRDefault="0050243A" w:rsidP="009775A0">
      <w:pPr>
        <w:pStyle w:val="FootnoteText"/>
        <w:suppressAutoHyphens/>
        <w:rPr>
          <w:rFonts w:ascii="Times New Roman" w:hAnsi="Times New Roman" w:cs="Times New Roman"/>
          <w:i/>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Market Stabilization Proposed Rule, 82 Fed. </w:t>
      </w:r>
      <w:proofErr w:type="gramStart"/>
      <w:r w:rsidRPr="00EE4855">
        <w:rPr>
          <w:rFonts w:ascii="Times New Roman" w:hAnsi="Times New Roman" w:cs="Times New Roman"/>
          <w:sz w:val="20"/>
          <w:szCs w:val="20"/>
        </w:rPr>
        <w:t>Reg. at 10,989.</w:t>
      </w:r>
      <w:proofErr w:type="gramEnd"/>
    </w:p>
  </w:footnote>
  <w:footnote w:id="40">
    <w:p w14:paraId="2758D261"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Id.</w:t>
      </w:r>
    </w:p>
  </w:footnote>
  <w:footnote w:id="41">
    <w:p w14:paraId="158B9E2B" w14:textId="77777777" w:rsidR="0050243A" w:rsidRPr="00EE4855" w:rsidRDefault="0050243A" w:rsidP="009775A0">
      <w:pPr>
        <w:pStyle w:val="FootnoteText"/>
        <w:suppressAutoHyphens/>
        <w:rPr>
          <w:rFonts w:ascii="Times New Roman" w:hAnsi="Times New Roman" w:cs="Times New Roman"/>
          <w:i/>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Market Stabilization Final Rule, 82 Fed.</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Reg. at 18,369-71; 45 C.F.R. § 156.140(c).</w:t>
      </w:r>
      <w:proofErr w:type="gramEnd"/>
    </w:p>
  </w:footnote>
  <w:footnote w:id="42">
    <w:p w14:paraId="283FA3AD" w14:textId="77777777" w:rsidR="0050243A" w:rsidRPr="00EE4855" w:rsidRDefault="0050243A" w:rsidP="009775A0">
      <w:pPr>
        <w:pStyle w:val="FootnoteText"/>
        <w:suppressAutoHyphens/>
        <w:rPr>
          <w:rFonts w:ascii="Times New Roman" w:hAnsi="Times New Roman" w:cs="Times New Roman"/>
          <w:i/>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Market Stabilization Final Rule, 82 Fed.</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Reg. at 18,369.</w:t>
      </w:r>
      <w:proofErr w:type="gramEnd"/>
    </w:p>
  </w:footnote>
  <w:footnote w:id="43">
    <w:p w14:paraId="2C76E556"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Aetna,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 6; Anthem,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10, 4; BlueCross Blue Shield,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3; </w:t>
      </w:r>
      <w:proofErr w:type="spellStart"/>
      <w:r w:rsidRPr="00EE4855">
        <w:rPr>
          <w:rFonts w:ascii="Times New Roman" w:hAnsi="Times New Roman" w:cs="Times New Roman"/>
          <w:sz w:val="20"/>
          <w:szCs w:val="20"/>
        </w:rPr>
        <w:t>Centene</w:t>
      </w:r>
      <w:proofErr w:type="spellEnd"/>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3-4; Cigna, </w:t>
      </w:r>
      <w:r w:rsidRPr="00EE4855">
        <w:rPr>
          <w:rFonts w:ascii="Times New Roman" w:hAnsi="Times New Roman" w:cs="Times New Roman"/>
          <w:i/>
          <w:sz w:val="20"/>
          <w:szCs w:val="20"/>
        </w:rPr>
        <w:t xml:space="preserve">supra </w:t>
      </w:r>
      <w:r w:rsidRPr="00EE4855">
        <w:rPr>
          <w:rFonts w:ascii="Times New Roman" w:hAnsi="Times New Roman" w:cs="Times New Roman"/>
          <w:sz w:val="20"/>
          <w:szCs w:val="20"/>
        </w:rPr>
        <w:t xml:space="preserve">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3. </w:t>
      </w:r>
    </w:p>
  </w:footnote>
  <w:footnote w:id="44">
    <w:p w14:paraId="6848E4A3"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Anthem,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11.</w:t>
      </w:r>
    </w:p>
  </w:footnote>
  <w:footnote w:id="45">
    <w:p w14:paraId="4F783D98"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spellStart"/>
      <w:r w:rsidRPr="00EE4855">
        <w:rPr>
          <w:rFonts w:ascii="Times New Roman" w:hAnsi="Times New Roman" w:cs="Times New Roman"/>
          <w:sz w:val="20"/>
          <w:szCs w:val="20"/>
        </w:rPr>
        <w:t>Centene</w:t>
      </w:r>
      <w:proofErr w:type="spellEnd"/>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3.</w:t>
      </w:r>
    </w:p>
  </w:footnote>
  <w:footnote w:id="46">
    <w:p w14:paraId="52DFDE23"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45 C.F.R. § 156.230 (2017).</w:t>
      </w:r>
      <w:proofErr w:type="gramEnd"/>
    </w:p>
  </w:footnote>
  <w:footnote w:id="47">
    <w:p w14:paraId="7159D076"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Market Stabilization Rule, 82 Fed.</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Reg. at 18,372.</w:t>
      </w:r>
      <w:proofErr w:type="gramEnd"/>
    </w:p>
  </w:footnote>
  <w:footnote w:id="48">
    <w:p w14:paraId="1D9F205A"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Aetna,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 Anthem,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11-12; BlueCross Blue Shield,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4; </w:t>
      </w:r>
      <w:proofErr w:type="spellStart"/>
      <w:r w:rsidRPr="00EE4855">
        <w:rPr>
          <w:rFonts w:ascii="Times New Roman" w:hAnsi="Times New Roman" w:cs="Times New Roman"/>
          <w:sz w:val="20"/>
          <w:szCs w:val="20"/>
        </w:rPr>
        <w:t>Centene</w:t>
      </w:r>
      <w:proofErr w:type="spellEnd"/>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4; Cigna, </w:t>
      </w:r>
      <w:r w:rsidRPr="00EE4855">
        <w:rPr>
          <w:rFonts w:ascii="Times New Roman" w:hAnsi="Times New Roman" w:cs="Times New Roman"/>
          <w:i/>
          <w:sz w:val="20"/>
          <w:szCs w:val="20"/>
        </w:rPr>
        <w:t xml:space="preserve">supra </w:t>
      </w:r>
      <w:r w:rsidRPr="00EE4855">
        <w:rPr>
          <w:rFonts w:ascii="Times New Roman" w:hAnsi="Times New Roman" w:cs="Times New Roman"/>
          <w:sz w:val="20"/>
          <w:szCs w:val="20"/>
        </w:rPr>
        <w:t xml:space="preserve">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4. </w:t>
      </w:r>
    </w:p>
  </w:footnote>
  <w:footnote w:id="49">
    <w:p w14:paraId="7CA8DC4E"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Nat’l </w:t>
      </w:r>
      <w:proofErr w:type="spellStart"/>
      <w:r w:rsidRPr="00EE4855">
        <w:rPr>
          <w:rFonts w:ascii="Times New Roman" w:hAnsi="Times New Roman" w:cs="Times New Roman"/>
          <w:sz w:val="20"/>
          <w:szCs w:val="20"/>
        </w:rPr>
        <w:t>Ass’n</w:t>
      </w:r>
      <w:proofErr w:type="spellEnd"/>
      <w:r w:rsidRPr="00EE4855">
        <w:rPr>
          <w:rFonts w:ascii="Times New Roman" w:hAnsi="Times New Roman" w:cs="Times New Roman"/>
          <w:sz w:val="20"/>
          <w:szCs w:val="20"/>
        </w:rPr>
        <w:t xml:space="preserve"> of Ins. </w:t>
      </w:r>
      <w:proofErr w:type="spellStart"/>
      <w:r w:rsidRPr="00EE4855">
        <w:rPr>
          <w:rFonts w:ascii="Times New Roman" w:hAnsi="Times New Roman" w:cs="Times New Roman"/>
          <w:sz w:val="20"/>
          <w:szCs w:val="20"/>
        </w:rPr>
        <w:t>Comm’rs</w:t>
      </w:r>
      <w:proofErr w:type="spellEnd"/>
      <w:r w:rsidRPr="00EE4855">
        <w:rPr>
          <w:rFonts w:ascii="Times New Roman" w:hAnsi="Times New Roman" w:cs="Times New Roman"/>
          <w:sz w:val="20"/>
          <w:szCs w:val="20"/>
        </w:rPr>
        <w:t>, Comment on the Market Stabilization Proposed Rule 2 (March 7, 2017), https://www.regulations.gov/document?D=CMS-2017-0021-3109.</w:t>
      </w:r>
    </w:p>
  </w:footnote>
  <w:footnote w:id="50">
    <w:p w14:paraId="7518A4B4" w14:textId="77777777" w:rsidR="0050243A" w:rsidRPr="00EE4855" w:rsidRDefault="0050243A" w:rsidP="009775A0">
      <w:pPr>
        <w:pStyle w:val="FootnoteText"/>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 xml:space="preserve">Cigna, Actuarial </w:t>
      </w:r>
      <w:proofErr w:type="spellStart"/>
      <w:r w:rsidRPr="00EE4855">
        <w:rPr>
          <w:rFonts w:ascii="Times New Roman" w:hAnsi="Times New Roman" w:cs="Times New Roman"/>
          <w:sz w:val="20"/>
          <w:szCs w:val="20"/>
        </w:rPr>
        <w:t>Mem</w:t>
      </w:r>
      <w:proofErr w:type="spellEnd"/>
      <w:r w:rsidRPr="00EE4855">
        <w:rPr>
          <w:rFonts w:ascii="Times New Roman" w:hAnsi="Times New Roman" w:cs="Times New Roman"/>
          <w:sz w:val="20"/>
          <w:szCs w:val="20"/>
        </w:rPr>
        <w:t>.</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3 (2017).</w:t>
      </w:r>
      <w:proofErr w:type="gramEnd"/>
    </w:p>
  </w:footnote>
  <w:footnote w:id="51">
    <w:p w14:paraId="4D737DB5"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45 C.F.R. § 156.235 (2017).</w:t>
      </w:r>
      <w:proofErr w:type="gramEnd"/>
    </w:p>
  </w:footnote>
  <w:footnote w:id="52">
    <w:p w14:paraId="62AA6D61"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Market Stabilization Final Rule, 82 Fed.</w:t>
      </w:r>
      <w:proofErr w:type="gramEnd"/>
      <w:r w:rsidRPr="00EE4855">
        <w:rPr>
          <w:rFonts w:ascii="Times New Roman" w:hAnsi="Times New Roman" w:cs="Times New Roman"/>
          <w:sz w:val="20"/>
          <w:szCs w:val="20"/>
        </w:rPr>
        <w:t xml:space="preserve"> </w:t>
      </w:r>
      <w:proofErr w:type="gramStart"/>
      <w:r w:rsidRPr="00EE4855">
        <w:rPr>
          <w:rFonts w:ascii="Times New Roman" w:hAnsi="Times New Roman" w:cs="Times New Roman"/>
          <w:sz w:val="20"/>
          <w:szCs w:val="20"/>
        </w:rPr>
        <w:t>Reg. at 18,373.</w:t>
      </w:r>
      <w:proofErr w:type="gramEnd"/>
    </w:p>
  </w:footnote>
  <w:footnote w:id="53">
    <w:p w14:paraId="3F332045"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xml:space="preserve"> at 18,737-74.</w:t>
      </w:r>
      <w:proofErr w:type="gramEnd"/>
    </w:p>
  </w:footnote>
  <w:footnote w:id="54">
    <w:p w14:paraId="2769BE7A" w14:textId="77777777" w:rsidR="0050243A" w:rsidRPr="00EE4855" w:rsidRDefault="0050243A" w:rsidP="009775A0">
      <w:pPr>
        <w:pStyle w:val="FootnoteText"/>
        <w:suppressAutoHyphens/>
        <w:rPr>
          <w:rFonts w:ascii="Times New Roman" w:hAnsi="Times New Roman" w:cs="Times New Roman"/>
          <w:i/>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w:t>
      </w:r>
      <w:proofErr w:type="gramStart"/>
      <w:r w:rsidRPr="00EE4855">
        <w:rPr>
          <w:rFonts w:ascii="Times New Roman" w:hAnsi="Times New Roman" w:cs="Times New Roman"/>
          <w:i/>
          <w:sz w:val="20"/>
          <w:szCs w:val="20"/>
        </w:rPr>
        <w:t>Id.</w:t>
      </w:r>
      <w:r w:rsidRPr="00EE4855">
        <w:rPr>
          <w:rFonts w:ascii="Times New Roman" w:hAnsi="Times New Roman" w:cs="Times New Roman"/>
          <w:sz w:val="20"/>
          <w:szCs w:val="20"/>
        </w:rPr>
        <w:t xml:space="preserve"> at 18,379.</w:t>
      </w:r>
      <w:proofErr w:type="gramEnd"/>
    </w:p>
  </w:footnote>
  <w:footnote w:id="55">
    <w:p w14:paraId="1EBD05C5"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Aetna,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 Anthem,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12-13; BlueCross Blue Shield,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4; Cigna, </w:t>
      </w:r>
      <w:r w:rsidRPr="00EE4855">
        <w:rPr>
          <w:rFonts w:ascii="Times New Roman" w:hAnsi="Times New Roman" w:cs="Times New Roman"/>
          <w:i/>
          <w:sz w:val="20"/>
          <w:szCs w:val="20"/>
        </w:rPr>
        <w:t xml:space="preserve">supra </w:t>
      </w:r>
      <w:r w:rsidRPr="00EE4855">
        <w:rPr>
          <w:rFonts w:ascii="Times New Roman" w:hAnsi="Times New Roman" w:cs="Times New Roman"/>
          <w:sz w:val="20"/>
          <w:szCs w:val="20"/>
        </w:rPr>
        <w:t xml:space="preserve">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_Ref493842821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13</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4. </w:t>
      </w:r>
    </w:p>
  </w:footnote>
  <w:footnote w:id="56">
    <w:p w14:paraId="549319ED" w14:textId="77777777" w:rsidR="0050243A" w:rsidRPr="00EE4855" w:rsidRDefault="0050243A" w:rsidP="009775A0">
      <w:pPr>
        <w:pStyle w:val="FootnoteText"/>
        <w:suppressAutoHyphens/>
        <w:rPr>
          <w:rFonts w:ascii="Times New Roman" w:hAnsi="Times New Roman" w:cs="Times New Roman"/>
          <w:sz w:val="20"/>
          <w:szCs w:val="20"/>
        </w:rPr>
      </w:pPr>
      <w:r w:rsidRPr="00EE4855">
        <w:rPr>
          <w:rStyle w:val="FootnoteReference"/>
          <w:rFonts w:ascii="Times New Roman" w:hAnsi="Times New Roman" w:cs="Times New Roman"/>
          <w:sz w:val="20"/>
          <w:szCs w:val="20"/>
        </w:rPr>
        <w:footnoteRef/>
      </w:r>
      <w:r w:rsidRPr="00EE4855">
        <w:rPr>
          <w:rFonts w:ascii="Times New Roman" w:hAnsi="Times New Roman" w:cs="Times New Roman"/>
          <w:sz w:val="20"/>
          <w:szCs w:val="20"/>
        </w:rPr>
        <w:t xml:space="preserve"> Nat’l </w:t>
      </w:r>
      <w:proofErr w:type="spellStart"/>
      <w:r w:rsidRPr="00EE4855">
        <w:rPr>
          <w:rFonts w:ascii="Times New Roman" w:hAnsi="Times New Roman" w:cs="Times New Roman"/>
          <w:sz w:val="20"/>
          <w:szCs w:val="20"/>
        </w:rPr>
        <w:t>Ass’n</w:t>
      </w:r>
      <w:proofErr w:type="spellEnd"/>
      <w:r w:rsidRPr="00EE4855">
        <w:rPr>
          <w:rFonts w:ascii="Times New Roman" w:hAnsi="Times New Roman" w:cs="Times New Roman"/>
          <w:sz w:val="20"/>
          <w:szCs w:val="20"/>
        </w:rPr>
        <w:t xml:space="preserve"> of Ins. </w:t>
      </w:r>
      <w:proofErr w:type="spellStart"/>
      <w:r w:rsidRPr="00EE4855">
        <w:rPr>
          <w:rFonts w:ascii="Times New Roman" w:hAnsi="Times New Roman" w:cs="Times New Roman"/>
          <w:sz w:val="20"/>
          <w:szCs w:val="20"/>
        </w:rPr>
        <w:t>Comm’rs</w:t>
      </w:r>
      <w:proofErr w:type="spellEnd"/>
      <w:r w:rsidRPr="00EE4855">
        <w:rPr>
          <w:rFonts w:ascii="Times New Roman" w:hAnsi="Times New Roman" w:cs="Times New Roman"/>
          <w:sz w:val="20"/>
          <w:szCs w:val="20"/>
        </w:rPr>
        <w:t xml:space="preserve">, </w:t>
      </w:r>
      <w:r w:rsidRPr="00EE4855">
        <w:rPr>
          <w:rFonts w:ascii="Times New Roman" w:hAnsi="Times New Roman" w:cs="Times New Roman"/>
          <w:i/>
          <w:sz w:val="20"/>
          <w:szCs w:val="20"/>
        </w:rPr>
        <w:t>supra</w:t>
      </w:r>
      <w:r w:rsidRPr="00EE4855">
        <w:rPr>
          <w:rFonts w:ascii="Times New Roman" w:hAnsi="Times New Roman" w:cs="Times New Roman"/>
          <w:sz w:val="20"/>
          <w:szCs w:val="20"/>
        </w:rPr>
        <w:t xml:space="preserve"> note </w:t>
      </w:r>
      <w:r w:rsidRPr="00EE4855">
        <w:rPr>
          <w:rFonts w:ascii="Times New Roman" w:hAnsi="Times New Roman" w:cs="Times New Roman"/>
          <w:sz w:val="20"/>
          <w:szCs w:val="20"/>
        </w:rPr>
        <w:fldChar w:fldCharType="begin"/>
      </w:r>
      <w:r w:rsidRPr="00EE4855">
        <w:rPr>
          <w:rFonts w:ascii="Times New Roman" w:hAnsi="Times New Roman" w:cs="Times New Roman"/>
          <w:sz w:val="20"/>
          <w:szCs w:val="20"/>
        </w:rPr>
        <w:instrText xml:space="preserve"> NOTEREF _Ref493842947 \h  \* MERGEFORMAT </w:instrText>
      </w:r>
      <w:r w:rsidRPr="00EE4855">
        <w:rPr>
          <w:rFonts w:ascii="Times New Roman" w:hAnsi="Times New Roman" w:cs="Times New Roman"/>
          <w:sz w:val="20"/>
          <w:szCs w:val="20"/>
        </w:rPr>
      </w:r>
      <w:r w:rsidRPr="00EE4855">
        <w:rPr>
          <w:rFonts w:ascii="Times New Roman" w:hAnsi="Times New Roman" w:cs="Times New Roman"/>
          <w:sz w:val="20"/>
          <w:szCs w:val="20"/>
        </w:rPr>
        <w:fldChar w:fldCharType="separate"/>
      </w:r>
      <w:r w:rsidRPr="00EE4855">
        <w:rPr>
          <w:rFonts w:ascii="Times New Roman" w:hAnsi="Times New Roman" w:cs="Times New Roman"/>
          <w:sz w:val="20"/>
          <w:szCs w:val="20"/>
        </w:rPr>
        <w:t>49</w:t>
      </w:r>
      <w:r w:rsidRPr="00EE4855">
        <w:rPr>
          <w:rFonts w:ascii="Times New Roman" w:hAnsi="Times New Roman" w:cs="Times New Roman"/>
          <w:sz w:val="20"/>
          <w:szCs w:val="20"/>
        </w:rPr>
        <w:fldChar w:fldCharType="end"/>
      </w:r>
      <w:r w:rsidRPr="00EE4855">
        <w:rPr>
          <w:rFonts w:ascii="Times New Roman" w:hAnsi="Times New Roman" w:cs="Times New Roman"/>
          <w:sz w:val="20"/>
          <w:szCs w:val="20"/>
        </w:rPr>
        <w:t xml:space="preserve"> at 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F30"/>
    <w:multiLevelType w:val="hybridMultilevel"/>
    <w:tmpl w:val="D438DE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3E1E1E"/>
    <w:multiLevelType w:val="hybridMultilevel"/>
    <w:tmpl w:val="3DE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96D2C"/>
    <w:multiLevelType w:val="hybridMultilevel"/>
    <w:tmpl w:val="B1F8F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66F90"/>
    <w:multiLevelType w:val="hybridMultilevel"/>
    <w:tmpl w:val="4F2C9CE0"/>
    <w:lvl w:ilvl="0" w:tplc="DC0A1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E01F13"/>
    <w:multiLevelType w:val="hybridMultilevel"/>
    <w:tmpl w:val="E708A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65761"/>
    <w:multiLevelType w:val="hybridMultilevel"/>
    <w:tmpl w:val="10166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6B"/>
    <w:rsid w:val="00031604"/>
    <w:rsid w:val="0007071B"/>
    <w:rsid w:val="0008735B"/>
    <w:rsid w:val="000A4AED"/>
    <w:rsid w:val="002461DA"/>
    <w:rsid w:val="0028252F"/>
    <w:rsid w:val="00306C47"/>
    <w:rsid w:val="003C26FA"/>
    <w:rsid w:val="00434A23"/>
    <w:rsid w:val="004B6C4D"/>
    <w:rsid w:val="0050243A"/>
    <w:rsid w:val="00573FEA"/>
    <w:rsid w:val="005D63E9"/>
    <w:rsid w:val="005E3918"/>
    <w:rsid w:val="005F3ADB"/>
    <w:rsid w:val="006B7D72"/>
    <w:rsid w:val="00737901"/>
    <w:rsid w:val="00804C3B"/>
    <w:rsid w:val="009775A0"/>
    <w:rsid w:val="0098558C"/>
    <w:rsid w:val="00997774"/>
    <w:rsid w:val="009D4EBC"/>
    <w:rsid w:val="00A17329"/>
    <w:rsid w:val="00B010C3"/>
    <w:rsid w:val="00B2125C"/>
    <w:rsid w:val="00BA3159"/>
    <w:rsid w:val="00BD551A"/>
    <w:rsid w:val="00C203B6"/>
    <w:rsid w:val="00C32EA2"/>
    <w:rsid w:val="00C90776"/>
    <w:rsid w:val="00C969FE"/>
    <w:rsid w:val="00CD149D"/>
    <w:rsid w:val="00CD7CEF"/>
    <w:rsid w:val="00D416A4"/>
    <w:rsid w:val="00DC2682"/>
    <w:rsid w:val="00E26925"/>
    <w:rsid w:val="00FF59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49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6B"/>
    <w:rPr>
      <w:rFonts w:ascii="Lucida Grande" w:hAnsi="Lucida Grande" w:cs="Lucida Grande"/>
      <w:sz w:val="18"/>
      <w:szCs w:val="18"/>
    </w:rPr>
  </w:style>
  <w:style w:type="paragraph" w:styleId="ListParagraph">
    <w:name w:val="List Paragraph"/>
    <w:basedOn w:val="Normal"/>
    <w:uiPriority w:val="34"/>
    <w:qFormat/>
    <w:rsid w:val="0008735B"/>
    <w:pPr>
      <w:ind w:left="720"/>
      <w:contextualSpacing/>
    </w:pPr>
  </w:style>
  <w:style w:type="paragraph" w:styleId="Footer">
    <w:name w:val="footer"/>
    <w:basedOn w:val="Normal"/>
    <w:link w:val="FooterChar"/>
    <w:uiPriority w:val="99"/>
    <w:unhideWhenUsed/>
    <w:rsid w:val="009D4EBC"/>
    <w:pPr>
      <w:tabs>
        <w:tab w:val="center" w:pos="4320"/>
        <w:tab w:val="right" w:pos="8640"/>
      </w:tabs>
    </w:pPr>
  </w:style>
  <w:style w:type="character" w:customStyle="1" w:styleId="FooterChar">
    <w:name w:val="Footer Char"/>
    <w:basedOn w:val="DefaultParagraphFont"/>
    <w:link w:val="Footer"/>
    <w:uiPriority w:val="99"/>
    <w:rsid w:val="009D4EBC"/>
  </w:style>
  <w:style w:type="character" w:styleId="PageNumber">
    <w:name w:val="page number"/>
    <w:basedOn w:val="DefaultParagraphFont"/>
    <w:uiPriority w:val="99"/>
    <w:semiHidden/>
    <w:unhideWhenUsed/>
    <w:rsid w:val="009D4EBC"/>
  </w:style>
  <w:style w:type="table" w:styleId="TableGrid">
    <w:name w:val="Table Grid"/>
    <w:basedOn w:val="TableNormal"/>
    <w:uiPriority w:val="59"/>
    <w:rsid w:val="00C90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2125C"/>
    <w:rPr>
      <w:color w:val="0000FF"/>
      <w:u w:val="single"/>
    </w:rPr>
  </w:style>
  <w:style w:type="paragraph" w:styleId="FootnoteText">
    <w:name w:val="footnote text"/>
    <w:basedOn w:val="Normal"/>
    <w:link w:val="FootnoteTextChar"/>
    <w:uiPriority w:val="99"/>
    <w:unhideWhenUsed/>
    <w:rsid w:val="009775A0"/>
    <w:rPr>
      <w:rFonts w:asciiTheme="minorHAnsi" w:hAnsiTheme="minorHAnsi"/>
      <w:lang w:eastAsia="en-US"/>
    </w:rPr>
  </w:style>
  <w:style w:type="character" w:customStyle="1" w:styleId="FootnoteTextChar">
    <w:name w:val="Footnote Text Char"/>
    <w:basedOn w:val="DefaultParagraphFont"/>
    <w:link w:val="FootnoteText"/>
    <w:uiPriority w:val="99"/>
    <w:rsid w:val="009775A0"/>
    <w:rPr>
      <w:rFonts w:asciiTheme="minorHAnsi" w:hAnsiTheme="minorHAnsi"/>
      <w:lang w:eastAsia="en-US"/>
    </w:rPr>
  </w:style>
  <w:style w:type="character" w:styleId="FootnoteReference">
    <w:name w:val="footnote reference"/>
    <w:basedOn w:val="DefaultParagraphFont"/>
    <w:uiPriority w:val="99"/>
    <w:unhideWhenUsed/>
    <w:rsid w:val="009775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6B"/>
    <w:rPr>
      <w:rFonts w:ascii="Lucida Grande" w:hAnsi="Lucida Grande" w:cs="Lucida Grande"/>
      <w:sz w:val="18"/>
      <w:szCs w:val="18"/>
    </w:rPr>
  </w:style>
  <w:style w:type="paragraph" w:styleId="ListParagraph">
    <w:name w:val="List Paragraph"/>
    <w:basedOn w:val="Normal"/>
    <w:uiPriority w:val="34"/>
    <w:qFormat/>
    <w:rsid w:val="0008735B"/>
    <w:pPr>
      <w:ind w:left="720"/>
      <w:contextualSpacing/>
    </w:pPr>
  </w:style>
  <w:style w:type="paragraph" w:styleId="Footer">
    <w:name w:val="footer"/>
    <w:basedOn w:val="Normal"/>
    <w:link w:val="FooterChar"/>
    <w:uiPriority w:val="99"/>
    <w:unhideWhenUsed/>
    <w:rsid w:val="009D4EBC"/>
    <w:pPr>
      <w:tabs>
        <w:tab w:val="center" w:pos="4320"/>
        <w:tab w:val="right" w:pos="8640"/>
      </w:tabs>
    </w:pPr>
  </w:style>
  <w:style w:type="character" w:customStyle="1" w:styleId="FooterChar">
    <w:name w:val="Footer Char"/>
    <w:basedOn w:val="DefaultParagraphFont"/>
    <w:link w:val="Footer"/>
    <w:uiPriority w:val="99"/>
    <w:rsid w:val="009D4EBC"/>
  </w:style>
  <w:style w:type="character" w:styleId="PageNumber">
    <w:name w:val="page number"/>
    <w:basedOn w:val="DefaultParagraphFont"/>
    <w:uiPriority w:val="99"/>
    <w:semiHidden/>
    <w:unhideWhenUsed/>
    <w:rsid w:val="009D4EBC"/>
  </w:style>
  <w:style w:type="table" w:styleId="TableGrid">
    <w:name w:val="Table Grid"/>
    <w:basedOn w:val="TableNormal"/>
    <w:uiPriority w:val="59"/>
    <w:rsid w:val="00C90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2125C"/>
    <w:rPr>
      <w:color w:val="0000FF"/>
      <w:u w:val="single"/>
    </w:rPr>
  </w:style>
  <w:style w:type="paragraph" w:styleId="FootnoteText">
    <w:name w:val="footnote text"/>
    <w:basedOn w:val="Normal"/>
    <w:link w:val="FootnoteTextChar"/>
    <w:uiPriority w:val="99"/>
    <w:unhideWhenUsed/>
    <w:rsid w:val="009775A0"/>
    <w:rPr>
      <w:rFonts w:asciiTheme="minorHAnsi" w:hAnsiTheme="minorHAnsi"/>
      <w:lang w:eastAsia="en-US"/>
    </w:rPr>
  </w:style>
  <w:style w:type="character" w:customStyle="1" w:styleId="FootnoteTextChar">
    <w:name w:val="Footnote Text Char"/>
    <w:basedOn w:val="DefaultParagraphFont"/>
    <w:link w:val="FootnoteText"/>
    <w:uiPriority w:val="99"/>
    <w:rsid w:val="009775A0"/>
    <w:rPr>
      <w:rFonts w:asciiTheme="minorHAnsi" w:hAnsiTheme="minorHAnsi"/>
      <w:lang w:eastAsia="en-US"/>
    </w:rPr>
  </w:style>
  <w:style w:type="character" w:styleId="FootnoteReference">
    <w:name w:val="footnote reference"/>
    <w:basedOn w:val="DefaultParagraphFont"/>
    <w:uiPriority w:val="99"/>
    <w:unhideWhenUsed/>
    <w:rsid w:val="00977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hn.org/news/unitedhealth-warns-of-marketplace-exit-start-of-a-trend-or-push-for-white-hous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4D32-9009-E148-B7AB-28C8BA5E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3338</Words>
  <Characters>19031</Characters>
  <Application>Microsoft Macintosh Word</Application>
  <DocSecurity>4</DocSecurity>
  <Lines>158</Lines>
  <Paragraphs>44</Paragraphs>
  <ScaleCrop>false</ScaleCrop>
  <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JBray /Consumers Council</dc:creator>
  <cp:keywords/>
  <dc:description/>
  <cp:lastModifiedBy>Cara Spencer</cp:lastModifiedBy>
  <cp:revision>2</cp:revision>
  <dcterms:created xsi:type="dcterms:W3CDTF">2017-09-25T19:44:00Z</dcterms:created>
  <dcterms:modified xsi:type="dcterms:W3CDTF">2017-09-25T19:44:00Z</dcterms:modified>
</cp:coreProperties>
</file>