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4"/>
        <w:gridCol w:w="2791"/>
      </w:tblGrid>
      <w:tr w:rsidR="00471865" w:rsidRPr="00C90776" w14:paraId="3EFA59BB" w14:textId="77777777" w:rsidTr="0075437E">
        <w:trPr>
          <w:trHeight w:val="1812"/>
        </w:trPr>
        <w:tc>
          <w:tcPr>
            <w:tcW w:w="6754" w:type="dxa"/>
          </w:tcPr>
          <w:p w14:paraId="4E509A12" w14:textId="77777777" w:rsidR="00471865" w:rsidRDefault="00471865" w:rsidP="0075437E">
            <w:pPr>
              <w:rPr>
                <w:rFonts w:ascii="Helvetica" w:hAnsi="Helvetica" w:cs="Calibri"/>
              </w:rPr>
            </w:pPr>
            <w:r>
              <w:rPr>
                <w:noProof/>
              </w:rPr>
              <w:drawing>
                <wp:inline distT="0" distB="0" distL="0" distR="0" wp14:anchorId="25513586" wp14:editId="377F204F">
                  <wp:extent cx="3825875" cy="978156"/>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1645" cy="979631"/>
                          </a:xfrm>
                          <a:prstGeom prst="rect">
                            <a:avLst/>
                          </a:prstGeom>
                          <a:noFill/>
                          <a:ln>
                            <a:noFill/>
                          </a:ln>
                        </pic:spPr>
                      </pic:pic>
                    </a:graphicData>
                  </a:graphic>
                </wp:inline>
              </w:drawing>
            </w:r>
          </w:p>
        </w:tc>
        <w:tc>
          <w:tcPr>
            <w:tcW w:w="2791" w:type="dxa"/>
          </w:tcPr>
          <w:p w14:paraId="053392C3" w14:textId="77777777" w:rsidR="00471865" w:rsidRPr="00C90776" w:rsidRDefault="00471865" w:rsidP="0075437E">
            <w:pPr>
              <w:jc w:val="right"/>
              <w:rPr>
                <w:rFonts w:ascii="Copperplate Gothic Light" w:hAnsi="Copperplate Gothic Light"/>
                <w:color w:val="0000FF"/>
                <w:sz w:val="18"/>
                <w:szCs w:val="18"/>
              </w:rPr>
            </w:pPr>
          </w:p>
          <w:p w14:paraId="2691FDBC" w14:textId="77777777" w:rsidR="00471865" w:rsidRPr="00C90776" w:rsidRDefault="00471865" w:rsidP="0075437E">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3407 S. J</w:t>
            </w:r>
            <w:r>
              <w:rPr>
                <w:rFonts w:ascii="Copperplate Gothic Light" w:hAnsi="Copperplate Gothic Light"/>
                <w:color w:val="0000AD"/>
                <w:sz w:val="18"/>
                <w:szCs w:val="18"/>
              </w:rPr>
              <w:t>efferson</w:t>
            </w:r>
          </w:p>
          <w:p w14:paraId="49BFE64B" w14:textId="77777777" w:rsidR="00471865" w:rsidRPr="00C90776" w:rsidRDefault="00471865" w:rsidP="0075437E">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St. Louis, MO 63118</w:t>
            </w:r>
          </w:p>
          <w:p w14:paraId="61F2B2A5" w14:textId="77777777" w:rsidR="00471865" w:rsidRPr="00C90776" w:rsidRDefault="00471865" w:rsidP="0075437E">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314.556.7379</w:t>
            </w:r>
          </w:p>
          <w:p w14:paraId="36BC5742" w14:textId="77777777" w:rsidR="00471865" w:rsidRPr="00C90776" w:rsidRDefault="00471865" w:rsidP="0075437E">
            <w:pPr>
              <w:jc w:val="right"/>
              <w:rPr>
                <w:rFonts w:ascii="Copperplate Gothic Light" w:hAnsi="Copperplate Gothic Light"/>
                <w:color w:val="0000AD"/>
                <w:sz w:val="18"/>
                <w:szCs w:val="18"/>
              </w:rPr>
            </w:pPr>
            <w:r w:rsidRPr="00C90776">
              <w:rPr>
                <w:rFonts w:ascii="Copperplate Gothic Light" w:hAnsi="Copperplate Gothic Light"/>
                <w:color w:val="0000AD"/>
                <w:sz w:val="18"/>
                <w:szCs w:val="18"/>
              </w:rPr>
              <w:t>cara@moconsumers.org</w:t>
            </w:r>
          </w:p>
          <w:p w14:paraId="726C475B" w14:textId="77777777" w:rsidR="00471865" w:rsidRPr="00C90776" w:rsidRDefault="00471865" w:rsidP="0075437E">
            <w:pPr>
              <w:jc w:val="right"/>
              <w:rPr>
                <w:rFonts w:ascii="Copperplate Gothic Light" w:hAnsi="Copperplate Gothic Light" w:cs="Calibri"/>
                <w:color w:val="0000FF"/>
              </w:rPr>
            </w:pPr>
            <w:proofErr w:type="gramStart"/>
            <w:r w:rsidRPr="00C90776">
              <w:rPr>
                <w:rFonts w:ascii="Copperplate Gothic Light" w:hAnsi="Copperplate Gothic Light"/>
                <w:color w:val="0000AD"/>
                <w:sz w:val="18"/>
                <w:szCs w:val="18"/>
              </w:rPr>
              <w:t>moconsumers.org</w:t>
            </w:r>
            <w:proofErr w:type="gramEnd"/>
          </w:p>
        </w:tc>
      </w:tr>
    </w:tbl>
    <w:p w14:paraId="23074D3E" w14:textId="77777777" w:rsidR="00471865" w:rsidRDefault="00471865" w:rsidP="00B01C5A">
      <w:pPr>
        <w:jc w:val="center"/>
        <w:rPr>
          <w:rFonts w:ascii="Times New Roman" w:hAnsi="Times New Roman" w:cs="Times New Roman"/>
        </w:rPr>
      </w:pPr>
    </w:p>
    <w:p w14:paraId="4FA213FE" w14:textId="466294DD" w:rsidR="00B01C5A" w:rsidRPr="00371B92" w:rsidRDefault="00B01C5A" w:rsidP="00B01C5A">
      <w:pPr>
        <w:jc w:val="center"/>
        <w:rPr>
          <w:rFonts w:ascii="Times New Roman" w:hAnsi="Times New Roman" w:cs="Times New Roman"/>
        </w:rPr>
      </w:pPr>
      <w:r w:rsidRPr="00371B92">
        <w:rPr>
          <w:rFonts w:ascii="Times New Roman" w:hAnsi="Times New Roman" w:cs="Times New Roman"/>
        </w:rPr>
        <w:t xml:space="preserve">September </w:t>
      </w:r>
      <w:r w:rsidR="00253E02">
        <w:rPr>
          <w:rFonts w:ascii="Times New Roman" w:hAnsi="Times New Roman" w:cs="Times New Roman"/>
        </w:rPr>
        <w:t>25</w:t>
      </w:r>
      <w:bookmarkStart w:id="0" w:name="_GoBack"/>
      <w:bookmarkEnd w:id="0"/>
      <w:r w:rsidRPr="00371B92">
        <w:rPr>
          <w:rFonts w:ascii="Times New Roman" w:hAnsi="Times New Roman" w:cs="Times New Roman"/>
        </w:rPr>
        <w:t>, 2017</w:t>
      </w:r>
    </w:p>
    <w:p w14:paraId="69BEB2BC" w14:textId="77777777" w:rsidR="00B01C5A" w:rsidRPr="00371B92" w:rsidRDefault="00B01C5A" w:rsidP="00B01C5A">
      <w:pPr>
        <w:jc w:val="center"/>
        <w:rPr>
          <w:rFonts w:ascii="Times New Roman" w:hAnsi="Times New Roman" w:cs="Times New Roman"/>
        </w:rPr>
      </w:pPr>
    </w:p>
    <w:p w14:paraId="2991FC8F" w14:textId="3CB41E8E" w:rsidR="00851C4A" w:rsidRPr="00371B92" w:rsidRDefault="00B01C5A" w:rsidP="00DC354E">
      <w:pPr>
        <w:spacing w:after="240"/>
        <w:jc w:val="center"/>
        <w:rPr>
          <w:rFonts w:ascii="Times New Roman" w:hAnsi="Times New Roman" w:cs="Times New Roman"/>
          <w:b/>
        </w:rPr>
      </w:pPr>
      <w:r w:rsidRPr="00371B92">
        <w:rPr>
          <w:rFonts w:ascii="Times New Roman" w:hAnsi="Times New Roman" w:cs="Times New Roman"/>
          <w:b/>
        </w:rPr>
        <w:t xml:space="preserve">Comments on Individual Market (On-Exchange) Rate Filings of </w:t>
      </w:r>
      <w:r w:rsidR="00A76C75" w:rsidRPr="00371B92">
        <w:rPr>
          <w:rFonts w:ascii="Times New Roman" w:hAnsi="Times New Roman" w:cs="Times New Roman"/>
          <w:b/>
        </w:rPr>
        <w:t>Healthy Alliance Life Insurance Company</w:t>
      </w:r>
      <w:r w:rsidRPr="00371B92">
        <w:rPr>
          <w:rFonts w:ascii="Times New Roman" w:hAnsi="Times New Roman" w:cs="Times New Roman"/>
          <w:b/>
        </w:rPr>
        <w:t>, HIOS Issue</w:t>
      </w:r>
      <w:r w:rsidR="00127399">
        <w:rPr>
          <w:rFonts w:ascii="Times New Roman" w:hAnsi="Times New Roman" w:cs="Times New Roman"/>
          <w:b/>
        </w:rPr>
        <w:t>r</w:t>
      </w:r>
      <w:r w:rsidRPr="00371B92">
        <w:rPr>
          <w:rFonts w:ascii="Times New Roman" w:hAnsi="Times New Roman" w:cs="Times New Roman"/>
          <w:b/>
        </w:rPr>
        <w:t xml:space="preserve"> ID #32753, Effective Date Jan. 1, 2018</w:t>
      </w:r>
    </w:p>
    <w:p w14:paraId="51450F65" w14:textId="3A582BD3" w:rsidR="00B30BD8" w:rsidRPr="00851C4A" w:rsidRDefault="00B30BD8" w:rsidP="00D1648E">
      <w:pPr>
        <w:spacing w:line="480" w:lineRule="auto"/>
        <w:rPr>
          <w:rFonts w:ascii="Times New Roman" w:hAnsi="Times New Roman" w:cs="Times New Roman"/>
          <w:b/>
        </w:rPr>
      </w:pPr>
      <w:r w:rsidRPr="00851C4A">
        <w:rPr>
          <w:rFonts w:ascii="Times New Roman" w:hAnsi="Times New Roman" w:cs="Times New Roman"/>
          <w:b/>
        </w:rPr>
        <w:t>I. Introduction</w:t>
      </w:r>
    </w:p>
    <w:p w14:paraId="2E8AF694" w14:textId="35509332" w:rsidR="00127399" w:rsidRDefault="00A76C75" w:rsidP="00D1648E">
      <w:pPr>
        <w:spacing w:line="480" w:lineRule="auto"/>
        <w:rPr>
          <w:rFonts w:ascii="Times New Roman" w:hAnsi="Times New Roman" w:cs="Times New Roman"/>
        </w:rPr>
      </w:pPr>
      <w:r w:rsidRPr="00371B92">
        <w:rPr>
          <w:rFonts w:ascii="Times New Roman" w:hAnsi="Times New Roman" w:cs="Times New Roman"/>
          <w:b/>
        </w:rPr>
        <w:tab/>
      </w:r>
      <w:r w:rsidRPr="00371B92">
        <w:rPr>
          <w:rFonts w:ascii="Times New Roman" w:hAnsi="Times New Roman" w:cs="Times New Roman"/>
        </w:rPr>
        <w:t>Healthy Alliance Life Insurance Company</w:t>
      </w:r>
      <w:r w:rsidR="00594BAA" w:rsidRPr="00371B92">
        <w:rPr>
          <w:rFonts w:ascii="Times New Roman" w:hAnsi="Times New Roman" w:cs="Times New Roman"/>
        </w:rPr>
        <w:t xml:space="preserve"> (“HAL”)</w:t>
      </w:r>
      <w:r w:rsidRPr="00371B92">
        <w:rPr>
          <w:rFonts w:ascii="Times New Roman" w:hAnsi="Times New Roman" w:cs="Times New Roman"/>
        </w:rPr>
        <w:t xml:space="preserve"> has made an application to the Missouri Department of Insurance to </w:t>
      </w:r>
      <w:r w:rsidR="00322EA3" w:rsidRPr="00371B92">
        <w:rPr>
          <w:rFonts w:ascii="Times New Roman" w:hAnsi="Times New Roman" w:cs="Times New Roman"/>
        </w:rPr>
        <w:t>i</w:t>
      </w:r>
      <w:r w:rsidRPr="00371B92">
        <w:rPr>
          <w:rFonts w:ascii="Times New Roman" w:hAnsi="Times New Roman" w:cs="Times New Roman"/>
        </w:rPr>
        <w:t xml:space="preserve">ncrease its rates on average by </w:t>
      </w:r>
      <w:r w:rsidR="00F13E47">
        <w:rPr>
          <w:rFonts w:ascii="Times New Roman" w:hAnsi="Times New Roman" w:cs="Times New Roman"/>
        </w:rPr>
        <w:t>41.7</w:t>
      </w:r>
      <w:r w:rsidR="00D1648E" w:rsidRPr="00371B92">
        <w:rPr>
          <w:rFonts w:ascii="Times New Roman" w:hAnsi="Times New Roman" w:cs="Times New Roman"/>
        </w:rPr>
        <w:t>%</w:t>
      </w:r>
      <w:r w:rsidR="00322EA3" w:rsidRPr="00371B92">
        <w:rPr>
          <w:rFonts w:ascii="Times New Roman" w:hAnsi="Times New Roman" w:cs="Times New Roman"/>
        </w:rPr>
        <w:t xml:space="preserve"> </w:t>
      </w:r>
      <w:r w:rsidRPr="00371B92">
        <w:rPr>
          <w:rFonts w:ascii="Times New Roman" w:hAnsi="Times New Roman" w:cs="Times New Roman"/>
        </w:rPr>
        <w:t>for the 2018 year</w:t>
      </w:r>
      <w:r w:rsidR="00CA4937" w:rsidRPr="00371B92">
        <w:rPr>
          <w:rFonts w:ascii="Times New Roman" w:hAnsi="Times New Roman" w:cs="Times New Roman"/>
        </w:rPr>
        <w:t>.</w:t>
      </w:r>
      <w:r w:rsidR="00851C4A">
        <w:rPr>
          <w:rFonts w:ascii="Times New Roman" w:hAnsi="Times New Roman" w:cs="Times New Roman"/>
        </w:rPr>
        <w:t xml:space="preserve"> </w:t>
      </w:r>
      <w:r w:rsidRPr="00371B92">
        <w:rPr>
          <w:rFonts w:ascii="Times New Roman" w:hAnsi="Times New Roman" w:cs="Times New Roman"/>
        </w:rPr>
        <w:t xml:space="preserve"> </w:t>
      </w:r>
      <w:r w:rsidR="00322EA3" w:rsidRPr="00371B92">
        <w:rPr>
          <w:rFonts w:ascii="Times New Roman" w:hAnsi="Times New Roman" w:cs="Times New Roman"/>
        </w:rPr>
        <w:t>At the individual plan level, rate increase</w:t>
      </w:r>
      <w:r w:rsidR="00D1648E" w:rsidRPr="00371B92">
        <w:rPr>
          <w:rFonts w:ascii="Times New Roman" w:hAnsi="Times New Roman" w:cs="Times New Roman"/>
        </w:rPr>
        <w:t>s</w:t>
      </w:r>
      <w:r w:rsidR="00322EA3" w:rsidRPr="00371B92">
        <w:rPr>
          <w:rFonts w:ascii="Times New Roman" w:hAnsi="Times New Roman" w:cs="Times New Roman"/>
        </w:rPr>
        <w:t xml:space="preserve"> will range from 29.7% to 46.7%</w:t>
      </w:r>
      <w:r w:rsidR="00EB683D" w:rsidRPr="00371B92">
        <w:rPr>
          <w:rFonts w:ascii="Times New Roman" w:hAnsi="Times New Roman" w:cs="Times New Roman"/>
        </w:rPr>
        <w:t>.</w:t>
      </w:r>
      <w:r w:rsidR="00D1648E" w:rsidRPr="00371B92">
        <w:rPr>
          <w:rFonts w:ascii="Times New Roman" w:hAnsi="Times New Roman" w:cs="Times New Roman"/>
        </w:rPr>
        <w:t xml:space="preserve"> </w:t>
      </w:r>
      <w:r w:rsidR="00851C4A">
        <w:rPr>
          <w:rFonts w:ascii="Times New Roman" w:hAnsi="Times New Roman" w:cs="Times New Roman"/>
        </w:rPr>
        <w:t xml:space="preserve"> </w:t>
      </w:r>
      <w:r w:rsidR="00003910" w:rsidRPr="00371B92">
        <w:rPr>
          <w:rFonts w:ascii="Times New Roman" w:hAnsi="Times New Roman" w:cs="Times New Roman"/>
        </w:rPr>
        <w:t>This</w:t>
      </w:r>
      <w:r w:rsidR="008F01EE" w:rsidRPr="00371B92">
        <w:rPr>
          <w:rFonts w:ascii="Times New Roman" w:hAnsi="Times New Roman" w:cs="Times New Roman"/>
        </w:rPr>
        <w:t xml:space="preserve"> change will have an e</w:t>
      </w:r>
      <w:r w:rsidR="00003910" w:rsidRPr="00371B92">
        <w:rPr>
          <w:rFonts w:ascii="Times New Roman" w:hAnsi="Times New Roman" w:cs="Times New Roman"/>
        </w:rPr>
        <w:t xml:space="preserve">ffect on approximately 116,000 people in Missouri. </w:t>
      </w:r>
    </w:p>
    <w:p w14:paraId="7D3D49E6" w14:textId="4C771458" w:rsidR="00F56611" w:rsidRPr="00371B92" w:rsidRDefault="00127399" w:rsidP="00DC354E">
      <w:pPr>
        <w:spacing w:line="480" w:lineRule="auto"/>
        <w:ind w:firstLine="720"/>
        <w:rPr>
          <w:rFonts w:ascii="Times New Roman" w:hAnsi="Times New Roman" w:cs="Times New Roman"/>
        </w:rPr>
      </w:pPr>
      <w:r w:rsidRPr="000F007C">
        <w:rPr>
          <w:rFonts w:ascii="Times New Roman" w:hAnsi="Times New Roman" w:cs="Times New Roman"/>
        </w:rPr>
        <w:t xml:space="preserve">We urge the Department to exercise its authority under Mo. Rev. Stat. § 376.465.10(4) and deem </w:t>
      </w:r>
      <w:r w:rsidR="00F45F1E">
        <w:rPr>
          <w:rFonts w:ascii="Times New Roman" w:hAnsi="Times New Roman" w:cs="Times New Roman"/>
        </w:rPr>
        <w:t>HAL</w:t>
      </w:r>
      <w:r w:rsidRPr="000F007C">
        <w:rPr>
          <w:rFonts w:ascii="Times New Roman" w:hAnsi="Times New Roman" w:cs="Times New Roman"/>
        </w:rPr>
        <w:t xml:space="preserve">’s rates unreasonable </w:t>
      </w:r>
      <w:r w:rsidR="00124ED6">
        <w:rPr>
          <w:rFonts w:ascii="Times New Roman" w:hAnsi="Times New Roman" w:cs="Times New Roman"/>
        </w:rPr>
        <w:t>absent further justification</w:t>
      </w:r>
      <w:r w:rsidRPr="000F007C">
        <w:rPr>
          <w:rFonts w:ascii="Times New Roman" w:hAnsi="Times New Roman" w:cs="Times New Roman"/>
        </w:rPr>
        <w:t xml:space="preserve">. </w:t>
      </w:r>
      <w:r w:rsidRPr="000F007C" w:rsidDel="00A46678">
        <w:rPr>
          <w:rFonts w:ascii="Times New Roman" w:hAnsi="Times New Roman" w:cs="Times New Roman"/>
        </w:rPr>
        <w:t xml:space="preserve"> </w:t>
      </w:r>
      <w:r w:rsidR="00F56611">
        <w:rPr>
          <w:rFonts w:ascii="Times New Roman" w:hAnsi="Times New Roman" w:cs="Times New Roman"/>
        </w:rPr>
        <w:t xml:space="preserve">HAL inappropriately redacted or </w:t>
      </w:r>
      <w:r w:rsidR="00E46FA4" w:rsidRPr="00371B92">
        <w:rPr>
          <w:rFonts w:ascii="Times New Roman" w:hAnsi="Times New Roman" w:cs="Times New Roman"/>
        </w:rPr>
        <w:t xml:space="preserve">entirely </w:t>
      </w:r>
      <w:r w:rsidR="00F56611">
        <w:rPr>
          <w:rFonts w:ascii="Times New Roman" w:hAnsi="Times New Roman" w:cs="Times New Roman"/>
        </w:rPr>
        <w:t xml:space="preserve">omitted several fundamental assumptions from its </w:t>
      </w:r>
      <w:r w:rsidR="00851C4A">
        <w:rPr>
          <w:rFonts w:ascii="Times New Roman" w:hAnsi="Times New Roman" w:cs="Times New Roman"/>
        </w:rPr>
        <w:t>filing</w:t>
      </w:r>
      <w:r>
        <w:rPr>
          <w:rFonts w:ascii="Times New Roman" w:hAnsi="Times New Roman" w:cs="Times New Roman"/>
        </w:rPr>
        <w:t>,</w:t>
      </w:r>
      <w:r w:rsidRPr="000F007C">
        <w:rPr>
          <w:rFonts w:ascii="Times New Roman" w:hAnsi="Times New Roman" w:cs="Times New Roman"/>
        </w:rPr>
        <w:t xml:space="preserve"> thus impeding the public’s ability to provide meaningful comments and the Department’s ability to critically analyze the proposed rate increases.  Moreover, </w:t>
      </w:r>
      <w:r>
        <w:rPr>
          <w:rFonts w:ascii="Times New Roman" w:hAnsi="Times New Roman" w:cs="Times New Roman"/>
        </w:rPr>
        <w:t>HAL</w:t>
      </w:r>
      <w:r w:rsidRPr="000F007C">
        <w:rPr>
          <w:rFonts w:ascii="Times New Roman" w:hAnsi="Times New Roman" w:cs="Times New Roman"/>
        </w:rPr>
        <w:t xml:space="preserve"> did not clearly explain how the assumptions it made regarding the elements of the rate filing will result in a </w:t>
      </w:r>
      <w:r w:rsidR="00F13E47">
        <w:rPr>
          <w:rFonts w:ascii="Times New Roman" w:hAnsi="Times New Roman" w:cs="Times New Roman"/>
        </w:rPr>
        <w:t>41.7</w:t>
      </w:r>
      <w:r w:rsidRPr="000F007C">
        <w:rPr>
          <w:rFonts w:ascii="Times New Roman" w:hAnsi="Times New Roman" w:cs="Times New Roman"/>
        </w:rPr>
        <w:t>% average increase.</w:t>
      </w:r>
      <w:r w:rsidR="00851C4A">
        <w:rPr>
          <w:rFonts w:ascii="Times New Roman" w:hAnsi="Times New Roman" w:cs="Times New Roman"/>
        </w:rPr>
        <w:t xml:space="preserve"> </w:t>
      </w:r>
      <w:r w:rsidRPr="000F007C">
        <w:rPr>
          <w:rFonts w:ascii="Times New Roman" w:hAnsi="Times New Roman" w:cs="Times New Roman"/>
        </w:rPr>
        <w:t xml:space="preserve"> We are particularly concerned that </w:t>
      </w:r>
      <w:r>
        <w:rPr>
          <w:rFonts w:ascii="Times New Roman" w:hAnsi="Times New Roman" w:cs="Times New Roman"/>
        </w:rPr>
        <w:t>HAL’</w:t>
      </w:r>
      <w:r w:rsidRPr="000F007C">
        <w:rPr>
          <w:rFonts w:ascii="Times New Roman" w:hAnsi="Times New Roman" w:cs="Times New Roman"/>
        </w:rPr>
        <w:t xml:space="preserve">s proposed rate increases fail to account for </w:t>
      </w:r>
      <w:r w:rsidR="004B1FB2">
        <w:rPr>
          <w:rFonts w:ascii="Times New Roman" w:hAnsi="Times New Roman" w:cs="Times New Roman"/>
        </w:rPr>
        <w:t xml:space="preserve">certain </w:t>
      </w:r>
      <w:r w:rsidRPr="000F007C">
        <w:rPr>
          <w:rFonts w:ascii="Times New Roman" w:hAnsi="Times New Roman" w:cs="Times New Roman"/>
        </w:rPr>
        <w:t xml:space="preserve">regulatory changes set forth in the revised Market Stabilization Rule that </w:t>
      </w:r>
      <w:r>
        <w:rPr>
          <w:rFonts w:ascii="Times New Roman" w:hAnsi="Times New Roman" w:cs="Times New Roman"/>
        </w:rPr>
        <w:t>Anthem</w:t>
      </w:r>
      <w:r w:rsidRPr="000F007C">
        <w:rPr>
          <w:rFonts w:ascii="Times New Roman" w:hAnsi="Times New Roman" w:cs="Times New Roman"/>
        </w:rPr>
        <w:t xml:space="preserve"> </w:t>
      </w:r>
      <w:r w:rsidR="00851C4A">
        <w:rPr>
          <w:rFonts w:ascii="Times New Roman" w:hAnsi="Times New Roman" w:cs="Times New Roman"/>
        </w:rPr>
        <w:t>(under whose trade name HAL operates)</w:t>
      </w:r>
      <w:r w:rsidR="00F56611">
        <w:rPr>
          <w:rFonts w:ascii="Times New Roman" w:hAnsi="Times New Roman" w:cs="Times New Roman"/>
        </w:rPr>
        <w:t xml:space="preserve"> and other issuers</w:t>
      </w:r>
      <w:r w:rsidR="00851C4A">
        <w:rPr>
          <w:rFonts w:ascii="Times New Roman" w:hAnsi="Times New Roman" w:cs="Times New Roman"/>
        </w:rPr>
        <w:t xml:space="preserve"> </w:t>
      </w:r>
      <w:r w:rsidRPr="000F007C">
        <w:rPr>
          <w:rFonts w:ascii="Times New Roman" w:hAnsi="Times New Roman" w:cs="Times New Roman"/>
        </w:rPr>
        <w:t xml:space="preserve">projected would reduce costs in 2018.  </w:t>
      </w:r>
    </w:p>
    <w:p w14:paraId="0984C7E2" w14:textId="79CB7576" w:rsidR="00B30BD8" w:rsidRPr="00851C4A" w:rsidRDefault="00B30BD8" w:rsidP="00D1648E">
      <w:pPr>
        <w:tabs>
          <w:tab w:val="left" w:pos="8040"/>
        </w:tabs>
        <w:spacing w:line="480" w:lineRule="auto"/>
        <w:rPr>
          <w:rFonts w:ascii="Times New Roman" w:hAnsi="Times New Roman" w:cs="Times New Roman"/>
          <w:b/>
        </w:rPr>
      </w:pPr>
      <w:r w:rsidRPr="00851C4A">
        <w:rPr>
          <w:rFonts w:ascii="Times New Roman" w:hAnsi="Times New Roman" w:cs="Times New Roman"/>
          <w:b/>
        </w:rPr>
        <w:t xml:space="preserve">II. </w:t>
      </w:r>
      <w:r w:rsidR="00BB1B92" w:rsidRPr="00851C4A">
        <w:rPr>
          <w:rFonts w:ascii="Times New Roman" w:hAnsi="Times New Roman" w:cs="Times New Roman"/>
          <w:b/>
        </w:rPr>
        <w:t>Principal Reasons for the Rate Increase</w:t>
      </w:r>
    </w:p>
    <w:p w14:paraId="22E6958D" w14:textId="32C35920" w:rsidR="00F82697" w:rsidRDefault="00F82697" w:rsidP="00851C4A">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hAnsi="Times New Roman" w:cs="Times New Roman"/>
        </w:rPr>
        <w:t>In Parts II and III of its rate filing</w:t>
      </w:r>
      <w:r w:rsidRPr="000F007C">
        <w:rPr>
          <w:rFonts w:ascii="Times New Roman" w:eastAsia="Times New Roman" w:hAnsi="Times New Roman" w:cs="Times New Roman"/>
          <w:shd w:val="clear" w:color="auto" w:fill="FFFFFF"/>
        </w:rPr>
        <w:t>—</w:t>
      </w:r>
      <w:r w:rsidRPr="000F007C">
        <w:rPr>
          <w:rFonts w:ascii="Times New Roman" w:hAnsi="Times New Roman" w:cs="Times New Roman"/>
        </w:rPr>
        <w:t>the Written Description Justifying the Rate Increase and the Actuarial Memorandum, respectively</w:t>
      </w:r>
      <w:r w:rsidRPr="000F007C">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HAL</w:t>
      </w:r>
      <w:r w:rsidRPr="000F007C">
        <w:rPr>
          <w:rFonts w:ascii="Times New Roman" w:eastAsia="Times New Roman" w:hAnsi="Times New Roman" w:cs="Times New Roman"/>
          <w:shd w:val="clear" w:color="auto" w:fill="FFFFFF"/>
        </w:rPr>
        <w:t xml:space="preserve"> identified </w:t>
      </w:r>
      <w:r>
        <w:rPr>
          <w:rFonts w:ascii="Times New Roman" w:eastAsia="Times New Roman" w:hAnsi="Times New Roman" w:cs="Times New Roman"/>
          <w:shd w:val="clear" w:color="auto" w:fill="FFFFFF"/>
        </w:rPr>
        <w:t>a number of</w:t>
      </w:r>
      <w:r w:rsidRPr="000F007C">
        <w:rPr>
          <w:rFonts w:ascii="Times New Roman" w:eastAsia="Times New Roman" w:hAnsi="Times New Roman" w:cs="Times New Roman"/>
          <w:shd w:val="clear" w:color="auto" w:fill="FFFFFF"/>
        </w:rPr>
        <w:t xml:space="preserve"> factors behind its proposed rate increase.  Despite highlighting th</w:t>
      </w:r>
      <w:r>
        <w:rPr>
          <w:rFonts w:ascii="Times New Roman" w:eastAsia="Times New Roman" w:hAnsi="Times New Roman" w:cs="Times New Roman"/>
          <w:shd w:val="clear" w:color="auto" w:fill="FFFFFF"/>
        </w:rPr>
        <w:t>e importance of these factors, HAL</w:t>
      </w:r>
      <w:r w:rsidRPr="000F007C">
        <w:rPr>
          <w:rFonts w:ascii="Times New Roman" w:eastAsia="Times New Roman" w:hAnsi="Times New Roman" w:cs="Times New Roman"/>
          <w:shd w:val="clear" w:color="auto" w:fill="FFFFFF"/>
        </w:rPr>
        <w:t xml:space="preserve">’s explanations of why they contribute to a </w:t>
      </w:r>
      <w:r w:rsidR="00F13E47">
        <w:rPr>
          <w:rFonts w:ascii="Times New Roman" w:eastAsia="Times New Roman" w:hAnsi="Times New Roman" w:cs="Times New Roman"/>
          <w:shd w:val="clear" w:color="auto" w:fill="FFFFFF"/>
        </w:rPr>
        <w:t>41.7</w:t>
      </w:r>
      <w:r w:rsidRPr="000F007C">
        <w:rPr>
          <w:rFonts w:ascii="Times New Roman" w:eastAsia="Times New Roman" w:hAnsi="Times New Roman" w:cs="Times New Roman"/>
          <w:shd w:val="clear" w:color="auto" w:fill="FFFFFF"/>
        </w:rPr>
        <w:t>% average rate increase are lacking.</w:t>
      </w:r>
    </w:p>
    <w:p w14:paraId="6894090E" w14:textId="77777777" w:rsidR="00DF414D" w:rsidRDefault="00DF414D" w:rsidP="00851C4A">
      <w:pPr>
        <w:suppressAutoHyphens/>
        <w:spacing w:line="480" w:lineRule="auto"/>
        <w:ind w:firstLine="720"/>
        <w:rPr>
          <w:rFonts w:ascii="Times New Roman" w:eastAsia="Times New Roman" w:hAnsi="Times New Roman" w:cs="Times New Roman"/>
          <w:shd w:val="clear" w:color="auto" w:fill="FFFFFF"/>
        </w:rPr>
      </w:pPr>
    </w:p>
    <w:p w14:paraId="122C3E39" w14:textId="77777777" w:rsidR="00DF414D" w:rsidRPr="00851C4A" w:rsidRDefault="00DF414D" w:rsidP="00851C4A">
      <w:pPr>
        <w:suppressAutoHyphens/>
        <w:spacing w:line="480" w:lineRule="auto"/>
        <w:ind w:firstLine="720"/>
        <w:rPr>
          <w:rFonts w:ascii="Times New Roman" w:hAnsi="Times New Roman" w:cs="Times New Roman"/>
        </w:rPr>
      </w:pPr>
    </w:p>
    <w:p w14:paraId="2DC970DF" w14:textId="1A09AB33" w:rsidR="00F82697" w:rsidRPr="00851C4A" w:rsidRDefault="00F82697" w:rsidP="00851C4A">
      <w:pPr>
        <w:pStyle w:val="ListParagraph"/>
        <w:numPr>
          <w:ilvl w:val="0"/>
          <w:numId w:val="1"/>
        </w:numPr>
        <w:tabs>
          <w:tab w:val="left" w:pos="8040"/>
        </w:tabs>
        <w:spacing w:line="480" w:lineRule="auto"/>
        <w:rPr>
          <w:rFonts w:ascii="Times New Roman" w:hAnsi="Times New Roman" w:cs="Times New Roman"/>
          <w:u w:val="single"/>
        </w:rPr>
      </w:pPr>
      <w:r>
        <w:rPr>
          <w:rFonts w:ascii="Times New Roman" w:hAnsi="Times New Roman" w:cs="Times New Roman"/>
          <w:u w:val="single"/>
        </w:rPr>
        <w:t>Medical Trend</w:t>
      </w:r>
    </w:p>
    <w:p w14:paraId="7499612E" w14:textId="00FEF0D9" w:rsidR="004231DD" w:rsidRPr="00371B92" w:rsidRDefault="00594BAA" w:rsidP="00E61CDA">
      <w:pPr>
        <w:tabs>
          <w:tab w:val="left" w:pos="720"/>
        </w:tabs>
        <w:spacing w:line="480" w:lineRule="auto"/>
        <w:rPr>
          <w:rFonts w:ascii="Times New Roman" w:hAnsi="Times New Roman" w:cs="Times New Roman"/>
        </w:rPr>
      </w:pPr>
      <w:r w:rsidRPr="00371B92">
        <w:rPr>
          <w:rFonts w:ascii="Times New Roman" w:hAnsi="Times New Roman" w:cs="Times New Roman"/>
        </w:rPr>
        <w:tab/>
      </w:r>
      <w:r w:rsidR="00BB1B92">
        <w:rPr>
          <w:rFonts w:ascii="Times New Roman" w:hAnsi="Times New Roman" w:cs="Times New Roman"/>
        </w:rPr>
        <w:t xml:space="preserve">In its Written Description, </w:t>
      </w:r>
      <w:r w:rsidRPr="00371B92">
        <w:rPr>
          <w:rFonts w:ascii="Times New Roman" w:hAnsi="Times New Roman" w:cs="Times New Roman"/>
        </w:rPr>
        <w:t>HAL</w:t>
      </w:r>
      <w:r w:rsidR="004231DD" w:rsidRPr="00371B92">
        <w:rPr>
          <w:rFonts w:ascii="Times New Roman" w:hAnsi="Times New Roman" w:cs="Times New Roman"/>
        </w:rPr>
        <w:t xml:space="preserve"> state</w:t>
      </w:r>
      <w:r w:rsidR="00124ED6">
        <w:rPr>
          <w:rFonts w:ascii="Times New Roman" w:hAnsi="Times New Roman" w:cs="Times New Roman"/>
        </w:rPr>
        <w:t>d</w:t>
      </w:r>
      <w:r w:rsidR="004231DD" w:rsidRPr="00371B92">
        <w:rPr>
          <w:rFonts w:ascii="Times New Roman" w:hAnsi="Times New Roman" w:cs="Times New Roman"/>
        </w:rPr>
        <w:t xml:space="preserve"> that the </w:t>
      </w:r>
      <w:r w:rsidR="00C06DC5" w:rsidRPr="00371B92">
        <w:rPr>
          <w:rFonts w:ascii="Times New Roman" w:hAnsi="Times New Roman" w:cs="Times New Roman"/>
        </w:rPr>
        <w:t xml:space="preserve">key driver </w:t>
      </w:r>
      <w:r w:rsidR="00E61CDA" w:rsidRPr="00371B92">
        <w:rPr>
          <w:rFonts w:ascii="Times New Roman" w:hAnsi="Times New Roman" w:cs="Times New Roman"/>
        </w:rPr>
        <w:t>of its</w:t>
      </w:r>
      <w:r w:rsidR="00C06DC5" w:rsidRPr="00371B92">
        <w:rPr>
          <w:rFonts w:ascii="Times New Roman" w:hAnsi="Times New Roman" w:cs="Times New Roman"/>
        </w:rPr>
        <w:t xml:space="preserve"> rate</w:t>
      </w:r>
      <w:r w:rsidR="009A2781" w:rsidRPr="00371B92">
        <w:rPr>
          <w:rFonts w:ascii="Times New Roman" w:hAnsi="Times New Roman" w:cs="Times New Roman"/>
        </w:rPr>
        <w:t xml:space="preserve"> increase was the increase in</w:t>
      </w:r>
      <w:r w:rsidR="00E61CDA" w:rsidRPr="00371B92">
        <w:rPr>
          <w:rFonts w:ascii="Times New Roman" w:hAnsi="Times New Roman" w:cs="Times New Roman"/>
        </w:rPr>
        <w:t xml:space="preserve"> </w:t>
      </w:r>
      <w:r w:rsidR="00F56611">
        <w:rPr>
          <w:rFonts w:ascii="Times New Roman" w:hAnsi="Times New Roman" w:cs="Times New Roman"/>
        </w:rPr>
        <w:t xml:space="preserve">the </w:t>
      </w:r>
      <w:r w:rsidR="00E61CDA" w:rsidRPr="00371B92">
        <w:rPr>
          <w:rFonts w:ascii="Times New Roman" w:hAnsi="Times New Roman" w:cs="Times New Roman"/>
        </w:rPr>
        <w:t xml:space="preserve">cost of benefits for </w:t>
      </w:r>
      <w:r w:rsidR="00F56611">
        <w:rPr>
          <w:rFonts w:ascii="Times New Roman" w:hAnsi="Times New Roman" w:cs="Times New Roman"/>
        </w:rPr>
        <w:t>its</w:t>
      </w:r>
      <w:r w:rsidR="00E61CDA" w:rsidRPr="00371B92">
        <w:rPr>
          <w:rFonts w:ascii="Times New Roman" w:hAnsi="Times New Roman" w:cs="Times New Roman"/>
        </w:rPr>
        <w:t xml:space="preserve"> insurance product</w:t>
      </w:r>
      <w:r w:rsidR="00E61CDA" w:rsidRPr="00371B92">
        <w:rPr>
          <w:rFonts w:ascii="Times New Roman" w:hAnsi="Times New Roman" w:cs="Times New Roman"/>
        </w:rPr>
        <w:softHyphen/>
      </w:r>
      <w:r w:rsidR="00E61CDA" w:rsidRPr="00371B92">
        <w:rPr>
          <w:rFonts w:ascii="Times New Roman" w:eastAsia="MS Gothic" w:hAnsi="Times New Roman" w:cs="Times New Roman"/>
        </w:rPr>
        <w:t>—</w:t>
      </w:r>
      <w:r w:rsidR="004231DD" w:rsidRPr="00371B92">
        <w:rPr>
          <w:rFonts w:ascii="Times New Roman" w:hAnsi="Times New Roman" w:cs="Times New Roman"/>
        </w:rPr>
        <w:t>specifically, increased prices in hospita</w:t>
      </w:r>
      <w:r w:rsidR="00E61CDA" w:rsidRPr="00371B92">
        <w:rPr>
          <w:rFonts w:ascii="Times New Roman" w:hAnsi="Times New Roman" w:cs="Times New Roman"/>
        </w:rPr>
        <w:t>ls, physicians, and pharmacies—</w:t>
      </w:r>
      <w:r w:rsidR="004231DD" w:rsidRPr="00371B92">
        <w:rPr>
          <w:rFonts w:ascii="Times New Roman" w:hAnsi="Times New Roman" w:cs="Times New Roman"/>
        </w:rPr>
        <w:t>and an increase in utilization.</w:t>
      </w:r>
      <w:r w:rsidR="00F56611">
        <w:rPr>
          <w:rFonts w:ascii="Times New Roman" w:hAnsi="Times New Roman" w:cs="Times New Roman"/>
        </w:rPr>
        <w:t xml:space="preserve"> </w:t>
      </w:r>
      <w:r w:rsidR="004231DD" w:rsidRPr="00371B92">
        <w:rPr>
          <w:rFonts w:ascii="Times New Roman" w:hAnsi="Times New Roman" w:cs="Times New Roman"/>
        </w:rPr>
        <w:t xml:space="preserve"> </w:t>
      </w:r>
      <w:r w:rsidR="00E61CDA" w:rsidRPr="00371B92">
        <w:rPr>
          <w:rFonts w:ascii="Times New Roman" w:hAnsi="Times New Roman" w:cs="Times New Roman"/>
        </w:rPr>
        <w:t xml:space="preserve">This description is unhelpful for at least three reasons. </w:t>
      </w:r>
      <w:r w:rsidR="00F56611">
        <w:rPr>
          <w:rFonts w:ascii="Times New Roman" w:hAnsi="Times New Roman" w:cs="Times New Roman"/>
        </w:rPr>
        <w:t xml:space="preserve"> </w:t>
      </w:r>
      <w:r w:rsidR="004231DD" w:rsidRPr="00371B92">
        <w:rPr>
          <w:rFonts w:ascii="Times New Roman" w:hAnsi="Times New Roman" w:cs="Times New Roman"/>
        </w:rPr>
        <w:t xml:space="preserve">First, </w:t>
      </w:r>
      <w:r w:rsidR="001E4A76">
        <w:rPr>
          <w:rFonts w:ascii="Times New Roman" w:hAnsi="Times New Roman" w:cs="Times New Roman"/>
        </w:rPr>
        <w:t>it merely states the obvious:</w:t>
      </w:r>
      <w:r w:rsidR="004231DD" w:rsidRPr="00371B92">
        <w:rPr>
          <w:rFonts w:ascii="Times New Roman" w:hAnsi="Times New Roman" w:cs="Times New Roman"/>
        </w:rPr>
        <w:t xml:space="preserve"> that overall trend consists of unit cost trend plus utilization trend.</w:t>
      </w:r>
      <w:r w:rsidR="00F56611">
        <w:rPr>
          <w:rFonts w:ascii="Times New Roman" w:hAnsi="Times New Roman" w:cs="Times New Roman"/>
        </w:rPr>
        <w:t xml:space="preserve"> </w:t>
      </w:r>
      <w:r w:rsidR="004231DD" w:rsidRPr="00371B92">
        <w:rPr>
          <w:rFonts w:ascii="Times New Roman" w:hAnsi="Times New Roman" w:cs="Times New Roman"/>
        </w:rPr>
        <w:t xml:space="preserve"> Second, </w:t>
      </w:r>
      <w:r w:rsidR="001E4A76">
        <w:rPr>
          <w:rFonts w:ascii="Times New Roman" w:hAnsi="Times New Roman" w:cs="Times New Roman"/>
        </w:rPr>
        <w:t xml:space="preserve">the description </w:t>
      </w:r>
      <w:r w:rsidR="004231DD" w:rsidRPr="00371B92">
        <w:rPr>
          <w:rFonts w:ascii="Times New Roman" w:hAnsi="Times New Roman" w:cs="Times New Roman"/>
        </w:rPr>
        <w:t>neither explain</w:t>
      </w:r>
      <w:r w:rsidR="001E4A76">
        <w:rPr>
          <w:rFonts w:ascii="Times New Roman" w:hAnsi="Times New Roman" w:cs="Times New Roman"/>
        </w:rPr>
        <w:t>s</w:t>
      </w:r>
      <w:r w:rsidR="004231DD" w:rsidRPr="00371B92">
        <w:rPr>
          <w:rFonts w:ascii="Times New Roman" w:hAnsi="Times New Roman" w:cs="Times New Roman"/>
        </w:rPr>
        <w:t xml:space="preserve"> nor disclose</w:t>
      </w:r>
      <w:r w:rsidR="001E4A76">
        <w:rPr>
          <w:rFonts w:ascii="Times New Roman" w:hAnsi="Times New Roman" w:cs="Times New Roman"/>
        </w:rPr>
        <w:t>s</w:t>
      </w:r>
      <w:r w:rsidR="004231DD" w:rsidRPr="00371B92">
        <w:rPr>
          <w:rFonts w:ascii="Times New Roman" w:hAnsi="Times New Roman" w:cs="Times New Roman"/>
        </w:rPr>
        <w:t xml:space="preserve"> any of the underlying data on which </w:t>
      </w:r>
      <w:r w:rsidR="005D4AA7" w:rsidRPr="00371B92">
        <w:rPr>
          <w:rFonts w:ascii="Times New Roman" w:hAnsi="Times New Roman" w:cs="Times New Roman"/>
        </w:rPr>
        <w:t>HAL</w:t>
      </w:r>
      <w:r w:rsidR="004231DD" w:rsidRPr="00371B92">
        <w:rPr>
          <w:rFonts w:ascii="Times New Roman" w:hAnsi="Times New Roman" w:cs="Times New Roman"/>
        </w:rPr>
        <w:t xml:space="preserve"> has calculated trend.</w:t>
      </w:r>
      <w:r w:rsidR="00F56611">
        <w:rPr>
          <w:rFonts w:ascii="Times New Roman" w:hAnsi="Times New Roman" w:cs="Times New Roman"/>
        </w:rPr>
        <w:t xml:space="preserve"> </w:t>
      </w:r>
      <w:r w:rsidR="004231DD" w:rsidRPr="00371B92">
        <w:rPr>
          <w:rFonts w:ascii="Times New Roman" w:hAnsi="Times New Roman" w:cs="Times New Roman"/>
        </w:rPr>
        <w:t xml:space="preserve"> Third, </w:t>
      </w:r>
      <w:r w:rsidR="001E4A76">
        <w:rPr>
          <w:rFonts w:ascii="Times New Roman" w:hAnsi="Times New Roman" w:cs="Times New Roman"/>
        </w:rPr>
        <w:t>it</w:t>
      </w:r>
      <w:r w:rsidR="001E4A76" w:rsidRPr="00371B92">
        <w:rPr>
          <w:rFonts w:ascii="Times New Roman" w:hAnsi="Times New Roman" w:cs="Times New Roman"/>
        </w:rPr>
        <w:t xml:space="preserve"> </w:t>
      </w:r>
      <w:r w:rsidR="004231DD" w:rsidRPr="00371B92">
        <w:rPr>
          <w:rFonts w:ascii="Times New Roman" w:hAnsi="Times New Roman" w:cs="Times New Roman"/>
        </w:rPr>
        <w:t>impl</w:t>
      </w:r>
      <w:r w:rsidR="001E4A76">
        <w:rPr>
          <w:rFonts w:ascii="Times New Roman" w:hAnsi="Times New Roman" w:cs="Times New Roman"/>
        </w:rPr>
        <w:t>ies</w:t>
      </w:r>
      <w:r w:rsidR="004231DD" w:rsidRPr="00371B92">
        <w:rPr>
          <w:rFonts w:ascii="Times New Roman" w:hAnsi="Times New Roman" w:cs="Times New Roman"/>
        </w:rPr>
        <w:t xml:space="preserve"> that </w:t>
      </w:r>
      <w:r w:rsidR="005D4AA7" w:rsidRPr="00371B92">
        <w:rPr>
          <w:rFonts w:ascii="Times New Roman" w:hAnsi="Times New Roman" w:cs="Times New Roman"/>
        </w:rPr>
        <w:t>HAL</w:t>
      </w:r>
      <w:r w:rsidR="00F56611">
        <w:rPr>
          <w:rFonts w:ascii="Times New Roman" w:hAnsi="Times New Roman" w:cs="Times New Roman"/>
        </w:rPr>
        <w:t xml:space="preserve"> is a passive price-taker, </w:t>
      </w:r>
      <w:r w:rsidR="004231DD" w:rsidRPr="00371B92">
        <w:rPr>
          <w:rFonts w:ascii="Times New Roman" w:hAnsi="Times New Roman" w:cs="Times New Roman"/>
        </w:rPr>
        <w:t xml:space="preserve">powerless to use its bargaining power with </w:t>
      </w:r>
      <w:r w:rsidR="00F56611">
        <w:rPr>
          <w:rFonts w:ascii="Times New Roman" w:hAnsi="Times New Roman" w:cs="Times New Roman"/>
        </w:rPr>
        <w:t>providers</w:t>
      </w:r>
      <w:r w:rsidR="004231DD" w:rsidRPr="00371B92">
        <w:rPr>
          <w:rFonts w:ascii="Times New Roman" w:hAnsi="Times New Roman" w:cs="Times New Roman"/>
        </w:rPr>
        <w:t xml:space="preserve"> to drive down the prices it pays them.</w:t>
      </w:r>
      <w:r w:rsidR="00F56611">
        <w:rPr>
          <w:rFonts w:ascii="Times New Roman" w:hAnsi="Times New Roman" w:cs="Times New Roman"/>
        </w:rPr>
        <w:t xml:space="preserve"> </w:t>
      </w:r>
      <w:r w:rsidR="004231DD" w:rsidRPr="00371B92">
        <w:rPr>
          <w:rFonts w:ascii="Times New Roman" w:hAnsi="Times New Roman" w:cs="Times New Roman"/>
        </w:rPr>
        <w:t xml:space="preserve"> </w:t>
      </w:r>
      <w:r w:rsidR="00F56611">
        <w:rPr>
          <w:rFonts w:ascii="Times New Roman" w:hAnsi="Times New Roman" w:cs="Times New Roman"/>
        </w:rPr>
        <w:t xml:space="preserve">Although </w:t>
      </w:r>
      <w:r w:rsidR="00F56611" w:rsidRPr="00371B92">
        <w:rPr>
          <w:rFonts w:ascii="Times New Roman" w:hAnsi="Times New Roman" w:cs="Times New Roman"/>
        </w:rPr>
        <w:t xml:space="preserve">HAL </w:t>
      </w:r>
      <w:r w:rsidR="00124ED6">
        <w:rPr>
          <w:rFonts w:ascii="Times New Roman" w:hAnsi="Times New Roman" w:cs="Times New Roman"/>
        </w:rPr>
        <w:t>wrote</w:t>
      </w:r>
      <w:r w:rsidR="00F56611" w:rsidRPr="00371B92">
        <w:rPr>
          <w:rFonts w:ascii="Times New Roman" w:hAnsi="Times New Roman" w:cs="Times New Roman"/>
        </w:rPr>
        <w:t xml:space="preserve"> that it is committed to working to explor</w:t>
      </w:r>
      <w:r w:rsidR="00F56611">
        <w:rPr>
          <w:rFonts w:ascii="Times New Roman" w:hAnsi="Times New Roman" w:cs="Times New Roman"/>
        </w:rPr>
        <w:t>e</w:t>
      </w:r>
      <w:r w:rsidR="00F56611" w:rsidRPr="00371B92">
        <w:rPr>
          <w:rFonts w:ascii="Times New Roman" w:hAnsi="Times New Roman" w:cs="Times New Roman"/>
        </w:rPr>
        <w:t xml:space="preserve"> and apply new ways to reduce cost</w:t>
      </w:r>
      <w:r w:rsidR="00F56611">
        <w:rPr>
          <w:rFonts w:ascii="Times New Roman" w:hAnsi="Times New Roman" w:cs="Times New Roman"/>
        </w:rPr>
        <w:t>s</w:t>
      </w:r>
      <w:r w:rsidR="00F56611" w:rsidRPr="00371B92">
        <w:rPr>
          <w:rFonts w:ascii="Times New Roman" w:hAnsi="Times New Roman" w:cs="Times New Roman"/>
        </w:rPr>
        <w:t xml:space="preserve">, </w:t>
      </w:r>
      <w:r w:rsidR="00124ED6">
        <w:rPr>
          <w:rFonts w:ascii="Times New Roman" w:hAnsi="Times New Roman" w:cs="Times New Roman"/>
        </w:rPr>
        <w:t xml:space="preserve">the filing does not elaborate on </w:t>
      </w:r>
      <w:r w:rsidR="00F56611" w:rsidRPr="00371B92">
        <w:rPr>
          <w:rFonts w:ascii="Times New Roman" w:hAnsi="Times New Roman" w:cs="Times New Roman"/>
        </w:rPr>
        <w:t xml:space="preserve">if/how these efforts are </w:t>
      </w:r>
      <w:r w:rsidR="00F56611">
        <w:rPr>
          <w:rFonts w:ascii="Times New Roman" w:hAnsi="Times New Roman" w:cs="Times New Roman"/>
        </w:rPr>
        <w:t xml:space="preserve">effective and the extent to which they are reflected in its rate </w:t>
      </w:r>
      <w:r w:rsidR="00F56611" w:rsidRPr="00371B92">
        <w:rPr>
          <w:rFonts w:ascii="Times New Roman" w:hAnsi="Times New Roman" w:cs="Times New Roman"/>
        </w:rPr>
        <w:t>calculation</w:t>
      </w:r>
    </w:p>
    <w:p w14:paraId="060B55FD" w14:textId="1F4C92E5" w:rsidR="00BB1B92" w:rsidRPr="00371B92" w:rsidRDefault="00A759CE" w:rsidP="00BB1B92">
      <w:pPr>
        <w:widowControl w:val="0"/>
        <w:autoSpaceDE w:val="0"/>
        <w:autoSpaceDN w:val="0"/>
        <w:adjustRightInd w:val="0"/>
        <w:spacing w:line="480" w:lineRule="auto"/>
        <w:ind w:firstLine="720"/>
        <w:rPr>
          <w:rFonts w:ascii="Times New Roman" w:hAnsi="Times New Roman" w:cs="Times New Roman"/>
        </w:rPr>
      </w:pPr>
      <w:r w:rsidRPr="00371B92">
        <w:rPr>
          <w:rFonts w:ascii="Times New Roman" w:hAnsi="Times New Roman" w:cs="Times New Roman"/>
        </w:rPr>
        <w:t xml:space="preserve">In fact, </w:t>
      </w:r>
      <w:r w:rsidR="00BB1B92">
        <w:rPr>
          <w:rFonts w:ascii="Times New Roman" w:hAnsi="Times New Roman" w:cs="Times New Roman"/>
        </w:rPr>
        <w:t xml:space="preserve">we learn from the Actuarial Memorandum that </w:t>
      </w:r>
      <w:r w:rsidRPr="00371B92">
        <w:rPr>
          <w:rFonts w:ascii="Times New Roman" w:hAnsi="Times New Roman" w:cs="Times New Roman"/>
        </w:rPr>
        <w:t>HAL</w:t>
      </w:r>
      <w:r w:rsidR="004231DD" w:rsidRPr="00371B92">
        <w:rPr>
          <w:rFonts w:ascii="Times New Roman" w:hAnsi="Times New Roman" w:cs="Times New Roman"/>
        </w:rPr>
        <w:t xml:space="preserve"> is </w:t>
      </w:r>
      <w:r w:rsidRPr="00371B92">
        <w:rPr>
          <w:rFonts w:ascii="Times New Roman" w:hAnsi="Times New Roman" w:cs="Times New Roman"/>
        </w:rPr>
        <w:t>assuming a trend of 13.3</w:t>
      </w:r>
      <w:r w:rsidR="004231DD" w:rsidRPr="00371B92">
        <w:rPr>
          <w:rFonts w:ascii="Times New Roman" w:hAnsi="Times New Roman" w:cs="Times New Roman"/>
        </w:rPr>
        <w:t>%.</w:t>
      </w:r>
      <w:r w:rsidR="00124ED6">
        <w:rPr>
          <w:rFonts w:ascii="Times New Roman" w:hAnsi="Times New Roman" w:cs="Times New Roman"/>
        </w:rPr>
        <w:t xml:space="preserve"> </w:t>
      </w:r>
      <w:r w:rsidRPr="00371B92">
        <w:rPr>
          <w:rFonts w:ascii="Times New Roman" w:hAnsi="Times New Roman" w:cs="Times New Roman"/>
        </w:rPr>
        <w:t xml:space="preserve"> That </w:t>
      </w:r>
      <w:r w:rsidR="009A2781" w:rsidRPr="00371B92">
        <w:rPr>
          <w:rFonts w:ascii="Times New Roman" w:hAnsi="Times New Roman" w:cs="Times New Roman"/>
        </w:rPr>
        <w:t xml:space="preserve">is </w:t>
      </w:r>
      <w:r w:rsidRPr="00371B92">
        <w:rPr>
          <w:rFonts w:ascii="Times New Roman" w:hAnsi="Times New Roman" w:cs="Times New Roman"/>
        </w:rPr>
        <w:t>over three times higher than the 4.3</w:t>
      </w:r>
      <w:r w:rsidR="004231DD" w:rsidRPr="00371B92">
        <w:rPr>
          <w:rFonts w:ascii="Times New Roman" w:hAnsi="Times New Roman" w:cs="Times New Roman"/>
        </w:rPr>
        <w:t xml:space="preserve">% countrywide trend </w:t>
      </w:r>
      <w:proofErr w:type="spellStart"/>
      <w:r w:rsidRPr="00371B92">
        <w:rPr>
          <w:rFonts w:ascii="Times New Roman" w:hAnsi="Times New Roman" w:cs="Times New Roman"/>
        </w:rPr>
        <w:t>Milliman</w:t>
      </w:r>
      <w:proofErr w:type="spellEnd"/>
      <w:r w:rsidRPr="00371B92">
        <w:rPr>
          <w:rFonts w:ascii="Times New Roman" w:hAnsi="Times New Roman" w:cs="Times New Roman"/>
        </w:rPr>
        <w:t xml:space="preserve"> calculated for 2017</w:t>
      </w:r>
      <w:r w:rsidR="004231DD" w:rsidRPr="00371B92">
        <w:rPr>
          <w:rFonts w:ascii="Times New Roman" w:hAnsi="Times New Roman" w:cs="Times New Roman"/>
        </w:rPr>
        <w:t xml:space="preserve"> in </w:t>
      </w:r>
      <w:r w:rsidR="009A2781" w:rsidRPr="00371B92">
        <w:rPr>
          <w:rFonts w:ascii="Times New Roman" w:hAnsi="Times New Roman" w:cs="Times New Roman"/>
        </w:rPr>
        <w:t xml:space="preserve">its </w:t>
      </w:r>
      <w:proofErr w:type="spellStart"/>
      <w:r w:rsidR="009A2781" w:rsidRPr="00371B92">
        <w:rPr>
          <w:rFonts w:ascii="Times New Roman" w:hAnsi="Times New Roman" w:cs="Times New Roman"/>
        </w:rPr>
        <w:t>Milliman</w:t>
      </w:r>
      <w:proofErr w:type="spellEnd"/>
      <w:r w:rsidR="009A2781" w:rsidRPr="00371B92">
        <w:rPr>
          <w:rFonts w:ascii="Times New Roman" w:hAnsi="Times New Roman" w:cs="Times New Roman"/>
        </w:rPr>
        <w:t xml:space="preserve"> Medical Index</w:t>
      </w:r>
      <w:r w:rsidR="004231DD" w:rsidRPr="00371B92">
        <w:rPr>
          <w:rFonts w:ascii="Times New Roman" w:hAnsi="Times New Roman" w:cs="Times New Roman"/>
        </w:rPr>
        <w:t>.</w:t>
      </w:r>
      <w:r w:rsidR="002B0848" w:rsidRPr="00371B92">
        <w:rPr>
          <w:rStyle w:val="FootnoteReference"/>
          <w:rFonts w:ascii="Times New Roman" w:hAnsi="Times New Roman" w:cs="Times New Roman"/>
        </w:rPr>
        <w:footnoteReference w:id="1"/>
      </w:r>
      <w:r w:rsidR="009A2781" w:rsidRPr="00371B92">
        <w:rPr>
          <w:rFonts w:ascii="Times New Roman" w:hAnsi="Times New Roman" w:cs="Times New Roman"/>
        </w:rPr>
        <w:t xml:space="preserve"> </w:t>
      </w:r>
      <w:r w:rsidR="001E4A76">
        <w:rPr>
          <w:rFonts w:ascii="Times New Roman" w:hAnsi="Times New Roman" w:cs="Times New Roman"/>
        </w:rPr>
        <w:t xml:space="preserve"> This is the lowest trend </w:t>
      </w:r>
      <w:r w:rsidRPr="00371B92">
        <w:rPr>
          <w:rFonts w:ascii="Times New Roman" w:hAnsi="Times New Roman" w:cs="Times New Roman"/>
        </w:rPr>
        <w:t>has been in the 16</w:t>
      </w:r>
      <w:r w:rsidR="004231DD" w:rsidRPr="00371B92">
        <w:rPr>
          <w:rFonts w:ascii="Times New Roman" w:hAnsi="Times New Roman" w:cs="Times New Roman"/>
        </w:rPr>
        <w:t xml:space="preserve"> years </w:t>
      </w:r>
      <w:proofErr w:type="spellStart"/>
      <w:r w:rsidR="004231DD" w:rsidRPr="00371B92">
        <w:rPr>
          <w:rFonts w:ascii="Times New Roman" w:hAnsi="Times New Roman" w:cs="Times New Roman"/>
        </w:rPr>
        <w:t>Millima</w:t>
      </w:r>
      <w:r w:rsidR="008F01EE" w:rsidRPr="00371B92">
        <w:rPr>
          <w:rFonts w:ascii="Times New Roman" w:hAnsi="Times New Roman" w:cs="Times New Roman"/>
        </w:rPr>
        <w:t>n</w:t>
      </w:r>
      <w:proofErr w:type="spellEnd"/>
      <w:r w:rsidR="008F01EE" w:rsidRPr="00371B92">
        <w:rPr>
          <w:rFonts w:ascii="Times New Roman" w:hAnsi="Times New Roman" w:cs="Times New Roman"/>
        </w:rPr>
        <w:t xml:space="preserve"> has been publishing its Index</w:t>
      </w:r>
      <w:r w:rsidR="001E4A76">
        <w:rPr>
          <w:rFonts w:ascii="Times New Roman" w:hAnsi="Times New Roman" w:cs="Times New Roman"/>
        </w:rPr>
        <w:t xml:space="preserve">, </w:t>
      </w:r>
      <w:r w:rsidR="004231DD" w:rsidRPr="00371B92">
        <w:rPr>
          <w:rFonts w:ascii="Times New Roman" w:hAnsi="Times New Roman" w:cs="Times New Roman"/>
        </w:rPr>
        <w:t xml:space="preserve"> </w:t>
      </w:r>
      <w:r w:rsidR="001E4A76">
        <w:rPr>
          <w:rFonts w:ascii="Times New Roman" w:hAnsi="Times New Roman" w:cs="Times New Roman"/>
        </w:rPr>
        <w:t>reflecting</w:t>
      </w:r>
      <w:r w:rsidR="004231DD" w:rsidRPr="00371B92">
        <w:rPr>
          <w:rFonts w:ascii="Times New Roman" w:hAnsi="Times New Roman" w:cs="Times New Roman"/>
        </w:rPr>
        <w:t xml:space="preserve"> a long-term decline in medical trend from </w:t>
      </w:r>
      <w:r w:rsidR="00BB1B92">
        <w:rPr>
          <w:rFonts w:ascii="Times New Roman" w:hAnsi="Times New Roman" w:cs="Times New Roman"/>
        </w:rPr>
        <w:t>roughly</w:t>
      </w:r>
      <w:r w:rsidR="004231DD" w:rsidRPr="00371B92">
        <w:rPr>
          <w:rFonts w:ascii="Times New Roman" w:hAnsi="Times New Roman" w:cs="Times New Roman"/>
        </w:rPr>
        <w:t xml:space="preserve"> 10% in</w:t>
      </w:r>
      <w:r w:rsidR="00B16B7B" w:rsidRPr="00371B92">
        <w:rPr>
          <w:rFonts w:ascii="Times New Roman" w:hAnsi="Times New Roman" w:cs="Times New Roman"/>
        </w:rPr>
        <w:t xml:space="preserve"> </w:t>
      </w:r>
      <w:r w:rsidR="00BB1B92">
        <w:rPr>
          <w:rFonts w:ascii="Times New Roman" w:hAnsi="Times New Roman" w:cs="Times New Roman"/>
        </w:rPr>
        <w:t xml:space="preserve">the early </w:t>
      </w:r>
      <w:r w:rsidR="00B16B7B" w:rsidRPr="00371B92">
        <w:rPr>
          <w:rFonts w:ascii="Times New Roman" w:hAnsi="Times New Roman" w:cs="Times New Roman"/>
        </w:rPr>
        <w:t>200</w:t>
      </w:r>
      <w:r w:rsidR="00BB1B92">
        <w:rPr>
          <w:rFonts w:ascii="Times New Roman" w:hAnsi="Times New Roman" w:cs="Times New Roman"/>
        </w:rPr>
        <w:t>0s</w:t>
      </w:r>
      <w:r w:rsidR="00B16B7B" w:rsidRPr="00371B92">
        <w:rPr>
          <w:rFonts w:ascii="Times New Roman" w:hAnsi="Times New Roman" w:cs="Times New Roman"/>
        </w:rPr>
        <w:t xml:space="preserve"> to less than 5% today.</w:t>
      </w:r>
      <w:r w:rsidR="00BB1B92">
        <w:rPr>
          <w:rStyle w:val="FootnoteReference"/>
          <w:rFonts w:ascii="Times New Roman" w:hAnsi="Times New Roman" w:cs="Times New Roman"/>
        </w:rPr>
        <w:footnoteReference w:id="2"/>
      </w:r>
      <w:r w:rsidR="00B16B7B" w:rsidRPr="00371B92">
        <w:rPr>
          <w:rFonts w:ascii="Times New Roman" w:hAnsi="Times New Roman" w:cs="Times New Roman"/>
        </w:rPr>
        <w:t xml:space="preserve"> </w:t>
      </w:r>
      <w:r w:rsidR="001E4A76">
        <w:rPr>
          <w:rFonts w:ascii="Times New Roman" w:hAnsi="Times New Roman" w:cs="Times New Roman"/>
        </w:rPr>
        <w:t xml:space="preserve"> </w:t>
      </w:r>
      <w:r w:rsidR="00F56611">
        <w:rPr>
          <w:rFonts w:ascii="Times New Roman" w:hAnsi="Times New Roman" w:cs="Times New Roman"/>
        </w:rPr>
        <w:t>In comparison</w:t>
      </w:r>
      <w:r w:rsidR="00B16B7B" w:rsidRPr="00371B92">
        <w:rPr>
          <w:rFonts w:ascii="Times New Roman" w:hAnsi="Times New Roman" w:cs="Times New Roman"/>
        </w:rPr>
        <w:t>,</w:t>
      </w:r>
      <w:r w:rsidRPr="00371B92">
        <w:rPr>
          <w:rFonts w:ascii="Times New Roman" w:hAnsi="Times New Roman" w:cs="Times New Roman"/>
        </w:rPr>
        <w:t xml:space="preserve"> HAL’s 13.3</w:t>
      </w:r>
      <w:r w:rsidR="004231DD" w:rsidRPr="00371B92">
        <w:rPr>
          <w:rFonts w:ascii="Times New Roman" w:hAnsi="Times New Roman" w:cs="Times New Roman"/>
        </w:rPr>
        <w:t>% trend assumption appear</w:t>
      </w:r>
      <w:r w:rsidR="00124ED6">
        <w:rPr>
          <w:rFonts w:ascii="Times New Roman" w:hAnsi="Times New Roman" w:cs="Times New Roman"/>
        </w:rPr>
        <w:t>s</w:t>
      </w:r>
      <w:r w:rsidR="004231DD" w:rsidRPr="00371B92">
        <w:rPr>
          <w:rFonts w:ascii="Times New Roman" w:hAnsi="Times New Roman" w:cs="Times New Roman"/>
        </w:rPr>
        <w:t xml:space="preserve"> to be unrealistically high.</w:t>
      </w:r>
      <w:r w:rsidR="00BB1B92">
        <w:rPr>
          <w:rFonts w:ascii="Times New Roman" w:hAnsi="Times New Roman" w:cs="Times New Roman"/>
        </w:rPr>
        <w:t xml:space="preserve">  </w:t>
      </w:r>
      <w:r w:rsidR="00BB1B92" w:rsidRPr="000F007C">
        <w:rPr>
          <w:rFonts w:ascii="Times New Roman" w:hAnsi="Times New Roman" w:cs="Times New Roman"/>
        </w:rPr>
        <w:t xml:space="preserve">Of course there will be market-specific differences that </w:t>
      </w:r>
      <w:r w:rsidR="00BB1B92">
        <w:rPr>
          <w:rFonts w:ascii="Times New Roman" w:hAnsi="Times New Roman" w:cs="Times New Roman"/>
        </w:rPr>
        <w:t>HAL</w:t>
      </w:r>
      <w:r w:rsidR="00124ED6">
        <w:rPr>
          <w:rFonts w:ascii="Times New Roman" w:hAnsi="Times New Roman" w:cs="Times New Roman"/>
        </w:rPr>
        <w:t xml:space="preserve"> presumably took</w:t>
      </w:r>
      <w:r w:rsidR="00BB1B92" w:rsidRPr="000F007C">
        <w:rPr>
          <w:rFonts w:ascii="Times New Roman" w:hAnsi="Times New Roman" w:cs="Times New Roman"/>
        </w:rPr>
        <w:t xml:space="preserve"> into account</w:t>
      </w:r>
      <w:r w:rsidR="00BB1B92">
        <w:rPr>
          <w:rFonts w:ascii="Times New Roman" w:hAnsi="Times New Roman" w:cs="Times New Roman"/>
        </w:rPr>
        <w:t xml:space="preserve"> in calculating trend</w:t>
      </w:r>
      <w:r w:rsidR="00BB1B92" w:rsidRPr="000F007C">
        <w:rPr>
          <w:rFonts w:ascii="Times New Roman" w:hAnsi="Times New Roman" w:cs="Times New Roman"/>
        </w:rPr>
        <w:t xml:space="preserve">, but </w:t>
      </w:r>
      <w:r w:rsidR="00BB1B92">
        <w:rPr>
          <w:rFonts w:ascii="Times New Roman" w:hAnsi="Times New Roman" w:cs="Times New Roman"/>
        </w:rPr>
        <w:t xml:space="preserve">HAL </w:t>
      </w:r>
      <w:r w:rsidR="00124ED6">
        <w:rPr>
          <w:rFonts w:ascii="Times New Roman" w:hAnsi="Times New Roman" w:cs="Times New Roman"/>
        </w:rPr>
        <w:t xml:space="preserve">should update its filing to </w:t>
      </w:r>
      <w:r w:rsidR="00BB1B92" w:rsidRPr="000F007C">
        <w:rPr>
          <w:rFonts w:ascii="Times New Roman" w:hAnsi="Times New Roman" w:cs="Times New Roman"/>
        </w:rPr>
        <w:t>elaborate on what those differences are so that consumer</w:t>
      </w:r>
      <w:r w:rsidR="00BB1B92">
        <w:rPr>
          <w:rFonts w:ascii="Times New Roman" w:hAnsi="Times New Roman" w:cs="Times New Roman"/>
        </w:rPr>
        <w:t>s</w:t>
      </w:r>
      <w:r w:rsidR="00BB1B92" w:rsidRPr="000F007C">
        <w:rPr>
          <w:rFonts w:ascii="Times New Roman" w:hAnsi="Times New Roman" w:cs="Times New Roman"/>
        </w:rPr>
        <w:t xml:space="preserve"> and officials can better understand the company’s trend calculations</w:t>
      </w:r>
      <w:r w:rsidR="00BB1B92">
        <w:rPr>
          <w:rFonts w:ascii="Times New Roman" w:hAnsi="Times New Roman" w:cs="Times New Roman"/>
        </w:rPr>
        <w:t xml:space="preserve"> </w:t>
      </w:r>
      <w:r w:rsidR="00BB1B92" w:rsidRPr="000F007C">
        <w:rPr>
          <w:rFonts w:ascii="Times New Roman" w:hAnsi="Times New Roman" w:cs="Times New Roman"/>
        </w:rPr>
        <w:t xml:space="preserve">and their impact on </w:t>
      </w:r>
      <w:r w:rsidR="00BB1B92">
        <w:rPr>
          <w:rFonts w:ascii="Times New Roman" w:hAnsi="Times New Roman" w:cs="Times New Roman"/>
        </w:rPr>
        <w:t xml:space="preserve">its </w:t>
      </w:r>
      <w:r w:rsidR="00BB1B92" w:rsidRPr="000F007C">
        <w:rPr>
          <w:rFonts w:ascii="Times New Roman" w:hAnsi="Times New Roman" w:cs="Times New Roman"/>
        </w:rPr>
        <w:t>overall rate increase</w:t>
      </w:r>
      <w:r w:rsidR="00BB1B92">
        <w:rPr>
          <w:rFonts w:ascii="Times New Roman" w:hAnsi="Times New Roman" w:cs="Times New Roman"/>
        </w:rPr>
        <w:t>s</w:t>
      </w:r>
      <w:r w:rsidR="00BB1B92" w:rsidRPr="000F007C">
        <w:rPr>
          <w:rFonts w:ascii="Times New Roman" w:hAnsi="Times New Roman" w:cs="Times New Roman"/>
        </w:rPr>
        <w:t xml:space="preserve"> for 2018.  </w:t>
      </w:r>
    </w:p>
    <w:p w14:paraId="0BAF503C" w14:textId="77777777" w:rsidR="00E8176B" w:rsidRPr="00E8176B" w:rsidRDefault="00E8176B" w:rsidP="00E8176B">
      <w:pPr>
        <w:pStyle w:val="ListParagraph"/>
        <w:numPr>
          <w:ilvl w:val="0"/>
          <w:numId w:val="1"/>
        </w:numPr>
        <w:suppressAutoHyphens/>
        <w:spacing w:line="480" w:lineRule="auto"/>
        <w:rPr>
          <w:rFonts w:ascii="Times New Roman" w:hAnsi="Times New Roman" w:cs="Times New Roman"/>
          <w:u w:val="single"/>
        </w:rPr>
      </w:pPr>
      <w:r w:rsidRPr="00E8176B">
        <w:rPr>
          <w:rFonts w:ascii="Times New Roman" w:hAnsi="Times New Roman" w:cs="Times New Roman"/>
          <w:u w:val="single"/>
        </w:rPr>
        <w:t>Changes in Morbidity</w:t>
      </w:r>
    </w:p>
    <w:p w14:paraId="0385FAF5" w14:textId="0A9071CC" w:rsidR="00E8176B" w:rsidRDefault="00E8176B" w:rsidP="00124ED6">
      <w:pPr>
        <w:widowControl w:val="0"/>
        <w:autoSpaceDE w:val="0"/>
        <w:autoSpaceDN w:val="0"/>
        <w:adjustRightInd w:val="0"/>
        <w:spacing w:line="480" w:lineRule="auto"/>
        <w:ind w:firstLine="720"/>
        <w:rPr>
          <w:rFonts w:ascii="Times New Roman" w:hAnsi="Times New Roman" w:cs="Times New Roman"/>
        </w:rPr>
      </w:pPr>
      <w:r w:rsidRPr="00E8176B">
        <w:rPr>
          <w:rFonts w:ascii="Times New Roman" w:hAnsi="Times New Roman" w:cs="Times New Roman"/>
        </w:rPr>
        <w:t>In its Actuarial Memorandum, HAL state</w:t>
      </w:r>
      <w:r w:rsidR="00124ED6">
        <w:rPr>
          <w:rFonts w:ascii="Times New Roman" w:hAnsi="Times New Roman" w:cs="Times New Roman"/>
        </w:rPr>
        <w:t>d</w:t>
      </w:r>
      <w:r w:rsidRPr="00E8176B">
        <w:rPr>
          <w:rFonts w:ascii="Times New Roman" w:hAnsi="Times New Roman" w:cs="Times New Roman"/>
        </w:rPr>
        <w:t xml:space="preserve"> that it expects that “market deterioration will </w:t>
      </w:r>
      <w:r w:rsidRPr="00E8176B">
        <w:rPr>
          <w:rFonts w:ascii="Times New Roman" w:hAnsi="Times New Roman" w:cs="Times New Roman"/>
        </w:rPr>
        <w:lastRenderedPageBreak/>
        <w:t>accelerate in 2018 due to increased selective entry and exit as members make health care decisions in the guaranteed issue, community rated ACA marketplace.”</w:t>
      </w:r>
      <w:r w:rsidR="00124ED6">
        <w:rPr>
          <w:rStyle w:val="FootnoteReference"/>
          <w:rFonts w:ascii="Times New Roman" w:hAnsi="Times New Roman" w:cs="Times New Roman"/>
        </w:rPr>
        <w:footnoteReference w:id="3"/>
      </w:r>
      <w:r w:rsidRPr="00E8176B">
        <w:rPr>
          <w:rFonts w:ascii="Times New Roman" w:hAnsi="Times New Roman" w:cs="Times New Roman"/>
        </w:rPr>
        <w:t xml:space="preserve">  </w:t>
      </w:r>
      <w:r w:rsidR="00124ED6">
        <w:rPr>
          <w:rFonts w:ascii="Times New Roman" w:hAnsi="Times New Roman" w:cs="Times New Roman"/>
        </w:rPr>
        <w:t xml:space="preserve">HAL offered </w:t>
      </w:r>
      <w:r w:rsidRPr="00E8176B">
        <w:rPr>
          <w:rFonts w:ascii="Times New Roman" w:hAnsi="Times New Roman" w:cs="Times New Roman"/>
        </w:rPr>
        <w:t>no support for this claim, however.  Most glaringly, HAL fail</w:t>
      </w:r>
      <w:r w:rsidR="00124ED6">
        <w:rPr>
          <w:rFonts w:ascii="Times New Roman" w:hAnsi="Times New Roman" w:cs="Times New Roman"/>
        </w:rPr>
        <w:t>ed</w:t>
      </w:r>
      <w:r w:rsidRPr="00E8176B">
        <w:rPr>
          <w:rFonts w:ascii="Times New Roman" w:hAnsi="Times New Roman" w:cs="Times New Roman"/>
        </w:rPr>
        <w:t xml:space="preserve"> to address the impact of a number of recent regulatory changes, many of which were adopted for purposes of improving the</w:t>
      </w:r>
      <w:r>
        <w:rPr>
          <w:rFonts w:ascii="Times New Roman" w:hAnsi="Times New Roman" w:cs="Times New Roman"/>
        </w:rPr>
        <w:t xml:space="preserve"> health and stability of the</w:t>
      </w:r>
      <w:r w:rsidRPr="00E8176B">
        <w:rPr>
          <w:rFonts w:ascii="Times New Roman" w:hAnsi="Times New Roman" w:cs="Times New Roman"/>
        </w:rPr>
        <w:t xml:space="preserve"> individual market risk pool at the behest of the insurance industry.  We discuss these changes in further detail below.  In light of their absence from HAL’s Actuarial Memorandum, we encourage the Department to look critically upon HAL’s unsupported assumption that average market-wide morbidity will increase from 2017 to 2018</w:t>
      </w:r>
      <w:r w:rsidR="00124ED6">
        <w:rPr>
          <w:rFonts w:ascii="Times New Roman" w:hAnsi="Times New Roman" w:cs="Times New Roman"/>
        </w:rPr>
        <w:t xml:space="preserve"> and to demand further explanation</w:t>
      </w:r>
      <w:r w:rsidRPr="00E8176B">
        <w:rPr>
          <w:rFonts w:ascii="Times New Roman" w:hAnsi="Times New Roman" w:cs="Times New Roman"/>
        </w:rPr>
        <w:t xml:space="preserve">.  </w:t>
      </w:r>
    </w:p>
    <w:p w14:paraId="7C46E931" w14:textId="3D565F72" w:rsidR="004231DD" w:rsidRPr="00E8176B" w:rsidRDefault="00F82697" w:rsidP="00E8176B">
      <w:pPr>
        <w:pStyle w:val="ListParagraph"/>
        <w:widowControl w:val="0"/>
        <w:numPr>
          <w:ilvl w:val="0"/>
          <w:numId w:val="1"/>
        </w:numPr>
        <w:autoSpaceDE w:val="0"/>
        <w:autoSpaceDN w:val="0"/>
        <w:adjustRightInd w:val="0"/>
        <w:spacing w:line="480" w:lineRule="auto"/>
        <w:rPr>
          <w:rFonts w:ascii="Times New Roman" w:hAnsi="Times New Roman" w:cs="Times New Roman"/>
          <w:u w:val="single"/>
        </w:rPr>
      </w:pPr>
      <w:r w:rsidRPr="00E8176B">
        <w:rPr>
          <w:rFonts w:ascii="Times New Roman" w:hAnsi="Times New Roman" w:cs="Times New Roman"/>
          <w:u w:val="single"/>
        </w:rPr>
        <w:t>Funding of Cost-Sharing Reduction Subsidies</w:t>
      </w:r>
    </w:p>
    <w:p w14:paraId="271366F5" w14:textId="7A48D231" w:rsidR="00C631F8" w:rsidRDefault="00D2490E" w:rsidP="00851C4A">
      <w:pPr>
        <w:suppressAutoHyphens/>
        <w:spacing w:line="480" w:lineRule="auto"/>
        <w:ind w:firstLine="720"/>
        <w:rPr>
          <w:rFonts w:ascii="Times New Roman" w:hAnsi="Times New Roman" w:cs="Times New Roman"/>
        </w:rPr>
      </w:pPr>
      <w:r w:rsidRPr="00371B92">
        <w:rPr>
          <w:rFonts w:ascii="Times New Roman" w:hAnsi="Times New Roman" w:cs="Times New Roman"/>
        </w:rPr>
        <w:t>HAL</w:t>
      </w:r>
      <w:r w:rsidR="00C631F8" w:rsidRPr="00371B92">
        <w:rPr>
          <w:rFonts w:ascii="Times New Roman" w:hAnsi="Times New Roman" w:cs="Times New Roman"/>
        </w:rPr>
        <w:t xml:space="preserve"> state</w:t>
      </w:r>
      <w:r w:rsidR="006C0BD8">
        <w:rPr>
          <w:rFonts w:ascii="Times New Roman" w:hAnsi="Times New Roman" w:cs="Times New Roman"/>
        </w:rPr>
        <w:t>d</w:t>
      </w:r>
      <w:r w:rsidR="00C631F8" w:rsidRPr="00371B92">
        <w:rPr>
          <w:rFonts w:ascii="Times New Roman" w:hAnsi="Times New Roman" w:cs="Times New Roman"/>
        </w:rPr>
        <w:t xml:space="preserve"> that their </w:t>
      </w:r>
      <w:r w:rsidR="00BB1B92">
        <w:rPr>
          <w:rFonts w:ascii="Times New Roman" w:hAnsi="Times New Roman" w:cs="Times New Roman"/>
        </w:rPr>
        <w:t>calculation</w:t>
      </w:r>
      <w:r w:rsidR="00BB1B92" w:rsidRPr="00371B92">
        <w:rPr>
          <w:rFonts w:ascii="Times New Roman" w:hAnsi="Times New Roman" w:cs="Times New Roman"/>
        </w:rPr>
        <w:t xml:space="preserve">s </w:t>
      </w:r>
      <w:r w:rsidR="00C631F8" w:rsidRPr="00371B92">
        <w:rPr>
          <w:rFonts w:ascii="Times New Roman" w:hAnsi="Times New Roman" w:cs="Times New Roman"/>
        </w:rPr>
        <w:t>are based on the assumption</w:t>
      </w:r>
      <w:r w:rsidR="008F01EE" w:rsidRPr="00371B92">
        <w:rPr>
          <w:rFonts w:ascii="Times New Roman" w:hAnsi="Times New Roman" w:cs="Times New Roman"/>
        </w:rPr>
        <w:t xml:space="preserve"> that it will not receive cost-</w:t>
      </w:r>
      <w:r w:rsidR="00C631F8" w:rsidRPr="00371B92">
        <w:rPr>
          <w:rFonts w:ascii="Times New Roman" w:hAnsi="Times New Roman" w:cs="Times New Roman"/>
        </w:rPr>
        <w:t xml:space="preserve">sharing reductions in 2018. </w:t>
      </w:r>
      <w:r w:rsidR="006C0BD8">
        <w:rPr>
          <w:rFonts w:ascii="Times New Roman" w:hAnsi="Times New Roman" w:cs="Times New Roman"/>
        </w:rPr>
        <w:t xml:space="preserve"> </w:t>
      </w:r>
      <w:r w:rsidR="00BB1B92">
        <w:rPr>
          <w:rFonts w:ascii="Times New Roman" w:hAnsi="Times New Roman" w:cs="Times New Roman"/>
        </w:rPr>
        <w:t>Certainly</w:t>
      </w:r>
      <w:r w:rsidR="00BB1B92" w:rsidRPr="00371B92">
        <w:rPr>
          <w:rFonts w:ascii="Times New Roman" w:hAnsi="Times New Roman" w:cs="Times New Roman"/>
        </w:rPr>
        <w:t xml:space="preserve"> </w:t>
      </w:r>
      <w:r w:rsidR="00C631F8" w:rsidRPr="00371B92">
        <w:rPr>
          <w:rFonts w:ascii="Times New Roman" w:hAnsi="Times New Roman" w:cs="Times New Roman"/>
        </w:rPr>
        <w:t>there is lots of uncertainty in this area, but HAL has provide</w:t>
      </w:r>
      <w:r w:rsidR="008F01EE" w:rsidRPr="00371B92">
        <w:rPr>
          <w:rFonts w:ascii="Times New Roman" w:hAnsi="Times New Roman" w:cs="Times New Roman"/>
        </w:rPr>
        <w:t>d</w:t>
      </w:r>
      <w:r w:rsidR="00C631F8" w:rsidRPr="00371B92">
        <w:rPr>
          <w:rFonts w:ascii="Times New Roman" w:hAnsi="Times New Roman" w:cs="Times New Roman"/>
        </w:rPr>
        <w:t xml:space="preserve"> no information to show how </w:t>
      </w:r>
      <w:r w:rsidR="00BB1B92">
        <w:rPr>
          <w:rFonts w:ascii="Times New Roman" w:hAnsi="Times New Roman" w:cs="Times New Roman"/>
        </w:rPr>
        <w:t xml:space="preserve">or to what extent </w:t>
      </w:r>
      <w:r w:rsidR="00C631F8" w:rsidRPr="00371B92">
        <w:rPr>
          <w:rFonts w:ascii="Times New Roman" w:hAnsi="Times New Roman" w:cs="Times New Roman"/>
        </w:rPr>
        <w:t>this assumption has affec</w:t>
      </w:r>
      <w:r w:rsidR="009A2781" w:rsidRPr="00371B92">
        <w:rPr>
          <w:rFonts w:ascii="Times New Roman" w:hAnsi="Times New Roman" w:cs="Times New Roman"/>
        </w:rPr>
        <w:t>ted their price calculations</w:t>
      </w:r>
      <w:r w:rsidR="00C631F8" w:rsidRPr="00371B92">
        <w:rPr>
          <w:rFonts w:ascii="Times New Roman" w:hAnsi="Times New Roman" w:cs="Times New Roman"/>
        </w:rPr>
        <w:t>.</w:t>
      </w:r>
      <w:r w:rsidR="008713FD" w:rsidRPr="00371B92">
        <w:rPr>
          <w:rFonts w:ascii="Times New Roman" w:hAnsi="Times New Roman" w:cs="Times New Roman"/>
        </w:rPr>
        <w:t xml:space="preserve"> Moreover</w:t>
      </w:r>
      <w:r w:rsidR="009A2781" w:rsidRPr="00371B92">
        <w:rPr>
          <w:rFonts w:ascii="Times New Roman" w:hAnsi="Times New Roman" w:cs="Times New Roman"/>
        </w:rPr>
        <w:t xml:space="preserve">, even though HAL has claimed </w:t>
      </w:r>
      <w:r w:rsidR="006C0BD8">
        <w:rPr>
          <w:rFonts w:ascii="Times New Roman" w:hAnsi="Times New Roman" w:cs="Times New Roman"/>
        </w:rPr>
        <w:t xml:space="preserve">that </w:t>
      </w:r>
      <w:r w:rsidR="009A2781" w:rsidRPr="00371B92">
        <w:rPr>
          <w:rFonts w:ascii="Times New Roman" w:hAnsi="Times New Roman" w:cs="Times New Roman"/>
        </w:rPr>
        <w:t>it</w:t>
      </w:r>
      <w:r w:rsidR="00BB1B92" w:rsidRPr="00BB1B92">
        <w:rPr>
          <w:rFonts w:ascii="Times New Roman" w:hAnsi="Times New Roman" w:cs="Times New Roman"/>
        </w:rPr>
        <w:t xml:space="preserve"> </w:t>
      </w:r>
      <w:r w:rsidR="00BB1B92" w:rsidRPr="000F007C">
        <w:rPr>
          <w:rFonts w:ascii="Times New Roman" w:hAnsi="Times New Roman" w:cs="Times New Roman"/>
        </w:rPr>
        <w:t>assumed that no cost-sharing reduction payments will be made to issuers in 2018</w:t>
      </w:r>
      <w:r w:rsidR="008713FD" w:rsidRPr="00371B92">
        <w:rPr>
          <w:rFonts w:ascii="Times New Roman" w:hAnsi="Times New Roman" w:cs="Times New Roman"/>
        </w:rPr>
        <w:t xml:space="preserve">, it has redacted the </w:t>
      </w:r>
      <w:r w:rsidR="00BB1B92">
        <w:rPr>
          <w:rFonts w:ascii="Times New Roman" w:hAnsi="Times New Roman" w:cs="Times New Roman"/>
        </w:rPr>
        <w:t xml:space="preserve">relevant </w:t>
      </w:r>
      <w:r w:rsidR="008713FD" w:rsidRPr="00371B92">
        <w:rPr>
          <w:rFonts w:ascii="Times New Roman" w:hAnsi="Times New Roman" w:cs="Times New Roman"/>
        </w:rPr>
        <w:t>information from Exhibit C and F</w:t>
      </w:r>
      <w:r w:rsidR="001820A7" w:rsidRPr="00371B92">
        <w:rPr>
          <w:rFonts w:ascii="Times New Roman" w:hAnsi="Times New Roman" w:cs="Times New Roman"/>
        </w:rPr>
        <w:t>,</w:t>
      </w:r>
      <w:r w:rsidR="008713FD" w:rsidRPr="00371B92">
        <w:rPr>
          <w:rFonts w:ascii="Times New Roman" w:hAnsi="Times New Roman" w:cs="Times New Roman"/>
        </w:rPr>
        <w:t xml:space="preserve"> under Part III</w:t>
      </w:r>
      <w:r w:rsidR="001820A7" w:rsidRPr="00371B92">
        <w:rPr>
          <w:rFonts w:ascii="Times New Roman" w:hAnsi="Times New Roman" w:cs="Times New Roman"/>
        </w:rPr>
        <w:t xml:space="preserve"> of the </w:t>
      </w:r>
      <w:r w:rsidR="00BB1B92">
        <w:rPr>
          <w:rFonts w:ascii="Times New Roman" w:hAnsi="Times New Roman" w:cs="Times New Roman"/>
        </w:rPr>
        <w:t>A</w:t>
      </w:r>
      <w:r w:rsidR="001820A7" w:rsidRPr="00371B92">
        <w:rPr>
          <w:rFonts w:ascii="Times New Roman" w:hAnsi="Times New Roman" w:cs="Times New Roman"/>
        </w:rPr>
        <w:t xml:space="preserve">ctuarial </w:t>
      </w:r>
      <w:r w:rsidR="00BB1B92">
        <w:rPr>
          <w:rFonts w:ascii="Times New Roman" w:hAnsi="Times New Roman" w:cs="Times New Roman"/>
        </w:rPr>
        <w:t>M</w:t>
      </w:r>
      <w:r w:rsidR="001820A7" w:rsidRPr="00371B92">
        <w:rPr>
          <w:rFonts w:ascii="Times New Roman" w:hAnsi="Times New Roman" w:cs="Times New Roman"/>
        </w:rPr>
        <w:t>emorandum.</w:t>
      </w:r>
      <w:r w:rsidR="00BB1B92">
        <w:rPr>
          <w:rFonts w:ascii="Times New Roman" w:hAnsi="Times New Roman" w:cs="Times New Roman"/>
        </w:rPr>
        <w:t xml:space="preserve">  T</w:t>
      </w:r>
      <w:r w:rsidR="00BB1B92" w:rsidRPr="000F007C">
        <w:rPr>
          <w:rFonts w:ascii="Times New Roman" w:hAnsi="Times New Roman" w:cs="Times New Roman"/>
        </w:rPr>
        <w:t>he Department must demand a fuller and more transparent explanation of these changes.</w:t>
      </w:r>
    </w:p>
    <w:p w14:paraId="694AD3C8" w14:textId="364FC64F" w:rsidR="00AC0E86" w:rsidRPr="00E8176B" w:rsidRDefault="00B30BD8" w:rsidP="00E8176B">
      <w:pPr>
        <w:tabs>
          <w:tab w:val="left" w:pos="8040"/>
        </w:tabs>
        <w:spacing w:line="480" w:lineRule="auto"/>
        <w:rPr>
          <w:rFonts w:ascii="Times New Roman" w:hAnsi="Times New Roman" w:cs="Times New Roman"/>
          <w:b/>
        </w:rPr>
      </w:pPr>
      <w:r w:rsidRPr="00E8176B">
        <w:rPr>
          <w:rFonts w:ascii="Times New Roman" w:hAnsi="Times New Roman" w:cs="Times New Roman"/>
          <w:b/>
        </w:rPr>
        <w:t xml:space="preserve">III. </w:t>
      </w:r>
      <w:r w:rsidR="008713FD" w:rsidRPr="00E8176B">
        <w:rPr>
          <w:rFonts w:ascii="Times New Roman" w:hAnsi="Times New Roman" w:cs="Times New Roman"/>
          <w:b/>
        </w:rPr>
        <w:t>Market Stabilization Rule</w:t>
      </w:r>
    </w:p>
    <w:p w14:paraId="55C93390" w14:textId="243AA3B5" w:rsidR="008713FD" w:rsidRPr="00371B92" w:rsidRDefault="00AC0E86" w:rsidP="00851C4A">
      <w:pPr>
        <w:suppressAutoHyphens/>
        <w:spacing w:line="480" w:lineRule="auto"/>
        <w:ind w:firstLine="720"/>
        <w:rPr>
          <w:rFonts w:ascii="Times New Roman" w:hAnsi="Times New Roman" w:cs="Times New Roman"/>
        </w:rPr>
      </w:pPr>
      <w:r w:rsidRPr="000F007C">
        <w:rPr>
          <w:rFonts w:ascii="Times New Roman" w:hAnsi="Times New Roman" w:cs="Times New Roman"/>
        </w:rPr>
        <w:t>The U.S. Department of Health and Human Services (HHS) proposed the Market Stabilization Rule in an effort to “improve the risk pool and promote stability in the individual insurance market.</w:t>
      </w:r>
      <w:r w:rsidRPr="000F007C">
        <w:rPr>
          <w:rStyle w:val="FootnoteReference"/>
          <w:rFonts w:ascii="Times New Roman" w:hAnsi="Times New Roman" w:cs="Times New Roman"/>
        </w:rPr>
        <w:footnoteReference w:id="4"/>
      </w:r>
      <w:r w:rsidRPr="000F007C">
        <w:rPr>
          <w:rFonts w:ascii="Times New Roman" w:hAnsi="Times New Roman" w:cs="Times New Roman"/>
        </w:rPr>
        <w:t xml:space="preserve"> The rule made changes to a number of requirements, including Guaranteed Availability of Coverage, Open Enrollment Periods, Special Enrollment Periods, Levels of Coverage, Network Adequacy, and Essential Community Providers. </w:t>
      </w:r>
      <w:r>
        <w:rPr>
          <w:rFonts w:ascii="Times New Roman" w:hAnsi="Times New Roman" w:cs="Times New Roman"/>
        </w:rPr>
        <w:t xml:space="preserve"> </w:t>
      </w:r>
      <w:r w:rsidR="008713FD" w:rsidRPr="00371B92">
        <w:rPr>
          <w:rFonts w:ascii="Times New Roman" w:hAnsi="Times New Roman" w:cs="Times New Roman"/>
        </w:rPr>
        <w:t>HAL has reflec</w:t>
      </w:r>
      <w:r w:rsidR="0007042D" w:rsidRPr="00371B92">
        <w:rPr>
          <w:rFonts w:ascii="Times New Roman" w:hAnsi="Times New Roman" w:cs="Times New Roman"/>
        </w:rPr>
        <w:t>ted</w:t>
      </w:r>
      <w:r w:rsidR="00E565D1" w:rsidRPr="00371B92">
        <w:rPr>
          <w:rFonts w:ascii="Times New Roman" w:hAnsi="Times New Roman" w:cs="Times New Roman"/>
        </w:rPr>
        <w:t xml:space="preserve"> only two</w:t>
      </w:r>
      <w:r w:rsidR="0007042D" w:rsidRPr="00371B92">
        <w:rPr>
          <w:rFonts w:ascii="Times New Roman" w:hAnsi="Times New Roman" w:cs="Times New Roman"/>
        </w:rPr>
        <w:t xml:space="preserve"> </w:t>
      </w:r>
      <w:r w:rsidR="0007042D" w:rsidRPr="00371B92">
        <w:rPr>
          <w:rFonts w:ascii="Times New Roman" w:hAnsi="Times New Roman" w:cs="Times New Roman"/>
        </w:rPr>
        <w:lastRenderedPageBreak/>
        <w:t>of these changes with</w:t>
      </w:r>
      <w:r w:rsidR="008713FD" w:rsidRPr="00371B92">
        <w:rPr>
          <w:rFonts w:ascii="Times New Roman" w:hAnsi="Times New Roman" w:cs="Times New Roman"/>
        </w:rPr>
        <w:t>in Part III of its Actuarial Memorandum.</w:t>
      </w:r>
      <w:r w:rsidR="00FE3D2C">
        <w:rPr>
          <w:rFonts w:ascii="Times New Roman" w:hAnsi="Times New Roman" w:cs="Times New Roman"/>
        </w:rPr>
        <w:t xml:space="preserve">  Its failure to address the remainder casts doubt on the validity of their morbidity assumptions</w:t>
      </w:r>
      <w:r w:rsidR="006C0BD8">
        <w:rPr>
          <w:rFonts w:ascii="Times New Roman" w:hAnsi="Times New Roman" w:cs="Times New Roman"/>
        </w:rPr>
        <w:t xml:space="preserve">.   </w:t>
      </w:r>
    </w:p>
    <w:p w14:paraId="17269709" w14:textId="69091C5D" w:rsidR="00BF7E91" w:rsidRPr="00167522" w:rsidRDefault="00BF7E91" w:rsidP="00167522">
      <w:pPr>
        <w:pStyle w:val="ListParagraph"/>
        <w:numPr>
          <w:ilvl w:val="0"/>
          <w:numId w:val="2"/>
        </w:numPr>
        <w:spacing w:line="480" w:lineRule="auto"/>
        <w:rPr>
          <w:rFonts w:ascii="Times New Roman" w:hAnsi="Times New Roman" w:cs="Times New Roman"/>
          <w:u w:val="single"/>
        </w:rPr>
      </w:pPr>
      <w:r w:rsidRPr="00167522">
        <w:rPr>
          <w:rFonts w:ascii="Times New Roman" w:hAnsi="Times New Roman" w:cs="Times New Roman"/>
          <w:u w:val="single"/>
        </w:rPr>
        <w:t>Guaranteed Availability of Coverage (</w:t>
      </w:r>
      <w:r w:rsidR="00167522">
        <w:rPr>
          <w:rFonts w:ascii="Times New Roman" w:hAnsi="Times New Roman" w:cs="Times New Roman"/>
          <w:u w:val="single"/>
        </w:rPr>
        <w:t xml:space="preserve">45 C.F.R. </w:t>
      </w:r>
      <w:r w:rsidRPr="00167522">
        <w:rPr>
          <w:rFonts w:ascii="Times New Roman" w:hAnsi="Times New Roman" w:cs="Times New Roman"/>
          <w:u w:val="single"/>
        </w:rPr>
        <w:t>§ 147.104)</w:t>
      </w:r>
    </w:p>
    <w:p w14:paraId="4675C19F" w14:textId="3241897E" w:rsidR="004B1FB2" w:rsidRDefault="004B1FB2" w:rsidP="004B1FB2">
      <w:pPr>
        <w:suppressAutoHyphens/>
        <w:spacing w:line="480" w:lineRule="auto"/>
        <w:ind w:firstLine="720"/>
        <w:rPr>
          <w:rFonts w:ascii="Times New Roman" w:hAnsi="Times New Roman" w:cs="Times New Roman"/>
        </w:rPr>
      </w:pPr>
      <w:r w:rsidRPr="000F007C">
        <w:rPr>
          <w:rFonts w:ascii="Times New Roman" w:hAnsi="Times New Roman" w:cs="Times New Roman"/>
        </w:rPr>
        <w:t>Guaranteed availability of coverage requires each health insurance issuer that offers coverage in the individual or group market in a state to accept every individual and employer that applies for coverage.</w:t>
      </w:r>
      <w:r w:rsidRPr="000F007C">
        <w:rPr>
          <w:rStyle w:val="FootnoteReference"/>
          <w:rFonts w:ascii="Times New Roman" w:hAnsi="Times New Roman" w:cs="Times New Roman"/>
        </w:rPr>
        <w:footnoteReference w:id="5"/>
      </w:r>
      <w:r w:rsidRPr="000F007C">
        <w:rPr>
          <w:rFonts w:ascii="Times New Roman" w:hAnsi="Times New Roman" w:cs="Times New Roman"/>
        </w:rPr>
        <w:t xml:space="preserve">  Previously, HHS interpreted this requirement to prohibit issuers from applying new enrollment premiums towards past-due premiums owed from previous coverage unless an individual sought to renew prior coverage with the same issuer in the same product.  It also prohibited issuers from refusing to effectuate coverage based on the enrollee’s previous history of failing to pay their coverage premiums.</w:t>
      </w:r>
      <w:r w:rsidRPr="000F007C">
        <w:rPr>
          <w:rStyle w:val="FootnoteReference"/>
          <w:rFonts w:ascii="Times New Roman" w:hAnsi="Times New Roman" w:cs="Times New Roman"/>
        </w:rPr>
        <w:footnoteReference w:id="6"/>
      </w:r>
      <w:r w:rsidRPr="000F007C">
        <w:rPr>
          <w:rFonts w:ascii="Times New Roman" w:hAnsi="Times New Roman" w:cs="Times New Roman"/>
        </w:rPr>
        <w:t xml:space="preserve">  Issuers </w:t>
      </w:r>
      <w:r w:rsidRPr="000F007C">
        <w:rPr>
          <w:rFonts w:ascii="Times New Roman" w:eastAsia="Times New Roman" w:hAnsi="Times New Roman" w:cs="Times New Roman"/>
          <w:shd w:val="clear" w:color="auto" w:fill="FFFFFF"/>
        </w:rPr>
        <w:t>objected to this interpretation, however, citing</w:t>
      </w:r>
      <w:r w:rsidRPr="000F007C">
        <w:rPr>
          <w:rFonts w:ascii="Times New Roman" w:hAnsi="Times New Roman" w:cs="Times New Roman"/>
        </w:rPr>
        <w:t xml:space="preserve"> unfair gaming and adverse selection by consumers.  They contended that individuals were purposefully declining to make premium payments near the end of a benefit year knowing they could sign up for new coverage during the next open enrollment period.</w:t>
      </w:r>
      <w:r w:rsidRPr="000F007C">
        <w:rPr>
          <w:rStyle w:val="FootnoteReference"/>
          <w:rFonts w:ascii="Times New Roman" w:hAnsi="Times New Roman" w:cs="Times New Roman"/>
        </w:rPr>
        <w:footnoteReference w:id="7"/>
      </w:r>
      <w:r w:rsidRPr="000F007C">
        <w:rPr>
          <w:rFonts w:ascii="Times New Roman" w:hAnsi="Times New Roman" w:cs="Times New Roman"/>
        </w:rPr>
        <w:t xml:space="preserve">  HHS directly addressed these concerns in the Market Stabilization Rule, providing a new interpretation of guaranteed availability of coverage.  Under this new interpretation, before effectuating new coverage issuers are allowed to attribute premiums paid for new coverage towards past-due premiums owed to them for coverage from the prior year from the same issuer.</w:t>
      </w:r>
      <w:r w:rsidRPr="000F007C">
        <w:rPr>
          <w:rStyle w:val="FootnoteReference"/>
          <w:rFonts w:ascii="Times New Roman" w:hAnsi="Times New Roman" w:cs="Times New Roman"/>
        </w:rPr>
        <w:footnoteReference w:id="8"/>
      </w:r>
      <w:r w:rsidRPr="000F007C">
        <w:rPr>
          <w:rFonts w:ascii="Times New Roman" w:hAnsi="Times New Roman" w:cs="Times New Roman"/>
        </w:rPr>
        <w:t xml:space="preserve">  In support of this change, HHS cited a study showing that 21</w:t>
      </w:r>
      <w:r>
        <w:rPr>
          <w:rFonts w:ascii="Times New Roman" w:hAnsi="Times New Roman" w:cs="Times New Roman"/>
        </w:rPr>
        <w:t xml:space="preserve">% </w:t>
      </w:r>
      <w:r w:rsidRPr="000F007C">
        <w:rPr>
          <w:rFonts w:ascii="Times New Roman" w:hAnsi="Times New Roman" w:cs="Times New Roman"/>
        </w:rPr>
        <w:t>of consumers enrolled in individual market plans stopped making their premium</w:t>
      </w:r>
      <w:r>
        <w:rPr>
          <w:rFonts w:ascii="Times New Roman" w:hAnsi="Times New Roman" w:cs="Times New Roman"/>
        </w:rPr>
        <w:t xml:space="preserve"> payments in 2015; 87%</w:t>
      </w:r>
      <w:r w:rsidRPr="000F007C">
        <w:rPr>
          <w:rFonts w:ascii="Times New Roman" w:hAnsi="Times New Roman" w:cs="Times New Roman"/>
        </w:rPr>
        <w:t xml:space="preserve"> of these consumers then repurchased plans in 2016, with nearly half repurchasing the same plan in which they were previously enrolled.</w:t>
      </w:r>
      <w:r w:rsidRPr="000F007C">
        <w:rPr>
          <w:rStyle w:val="FootnoteReference"/>
          <w:rFonts w:ascii="Times New Roman" w:hAnsi="Times New Roman" w:cs="Times New Roman"/>
        </w:rPr>
        <w:footnoteReference w:id="9"/>
      </w:r>
    </w:p>
    <w:p w14:paraId="6F6CE710" w14:textId="0430489D" w:rsidR="004B1FB2" w:rsidRPr="000F007C" w:rsidRDefault="004B1FB2" w:rsidP="00851C4A">
      <w:pPr>
        <w:suppressAutoHyphens/>
        <w:spacing w:line="480" w:lineRule="auto"/>
        <w:ind w:firstLine="720"/>
        <w:rPr>
          <w:rFonts w:ascii="Times New Roman" w:hAnsi="Times New Roman" w:cs="Times New Roman"/>
        </w:rPr>
      </w:pPr>
      <w:r w:rsidRPr="000F007C">
        <w:rPr>
          <w:rFonts w:ascii="Times New Roman" w:hAnsi="Times New Roman" w:cs="Times New Roman"/>
        </w:rPr>
        <w:lastRenderedPageBreak/>
        <w:t xml:space="preserve">Issuers, including </w:t>
      </w:r>
      <w:r>
        <w:rPr>
          <w:rFonts w:ascii="Times New Roman" w:hAnsi="Times New Roman" w:cs="Times New Roman"/>
        </w:rPr>
        <w:t>Anthem</w:t>
      </w:r>
      <w:r w:rsidRPr="000F007C">
        <w:rPr>
          <w:rFonts w:ascii="Times New Roman" w:hAnsi="Times New Roman" w:cs="Times New Roman"/>
        </w:rPr>
        <w:t xml:space="preserve"> and others </w:t>
      </w:r>
      <w:r w:rsidRPr="000F007C">
        <w:rPr>
          <w:rFonts w:ascii="Times New Roman" w:eastAsia="Times New Roman" w:hAnsi="Times New Roman" w:cs="Times New Roman"/>
          <w:shd w:val="clear" w:color="auto" w:fill="FFFFFF"/>
        </w:rPr>
        <w:t>seeking to participate in the Missouri individual and/or small group market</w:t>
      </w:r>
      <w:r w:rsidRPr="000F007C">
        <w:rPr>
          <w:rFonts w:ascii="Times New Roman" w:hAnsi="Times New Roman" w:cs="Times New Roman"/>
        </w:rPr>
        <w:t xml:space="preserve"> in 2018, supported this reinterpretation in comments to HHS.</w:t>
      </w:r>
      <w:bookmarkStart w:id="1" w:name="_Ref493843066"/>
      <w:r w:rsidRPr="000F007C">
        <w:rPr>
          <w:rStyle w:val="FootnoteReference"/>
          <w:rFonts w:ascii="Times New Roman" w:hAnsi="Times New Roman" w:cs="Times New Roman"/>
        </w:rPr>
        <w:footnoteReference w:id="10"/>
      </w:r>
      <w:bookmarkEnd w:id="1"/>
      <w:r w:rsidR="00167522">
        <w:rPr>
          <w:rFonts w:ascii="Times New Roman" w:hAnsi="Times New Roman" w:cs="Times New Roman"/>
        </w:rPr>
        <w:t xml:space="preserve"> </w:t>
      </w:r>
      <w:r w:rsidRPr="000F007C">
        <w:rPr>
          <w:rFonts w:ascii="Times New Roman" w:hAnsi="Times New Roman" w:cs="Times New Roman"/>
        </w:rPr>
        <w:t xml:space="preserve"> </w:t>
      </w:r>
      <w:r>
        <w:rPr>
          <w:rFonts w:ascii="Times New Roman" w:hAnsi="Times New Roman" w:cs="Times New Roman"/>
        </w:rPr>
        <w:t xml:space="preserve">Indeed, </w:t>
      </w:r>
      <w:r w:rsidRPr="000F007C">
        <w:rPr>
          <w:rFonts w:ascii="Times New Roman" w:hAnsi="Times New Roman" w:cs="Times New Roman"/>
        </w:rPr>
        <w:t>Anthem specifically observed that the stricter rules around eligibility for consumers who haven’t paid premiums “will help mitigate potential misuse and ‘gaming’ of the [system].”</w:t>
      </w:r>
      <w:r w:rsidRPr="000F007C">
        <w:rPr>
          <w:rStyle w:val="FootnoteReference"/>
          <w:rFonts w:ascii="Times New Roman" w:hAnsi="Times New Roman" w:cs="Times New Roman"/>
        </w:rPr>
        <w:footnoteReference w:id="11"/>
      </w:r>
      <w:r w:rsidR="00167522">
        <w:rPr>
          <w:rFonts w:ascii="Times New Roman" w:hAnsi="Times New Roman" w:cs="Times New Roman"/>
        </w:rPr>
        <w:t xml:space="preserve"> </w:t>
      </w:r>
      <w:r w:rsidRPr="000F007C">
        <w:rPr>
          <w:rFonts w:ascii="Times New Roman" w:hAnsi="Times New Roman" w:cs="Times New Roman"/>
        </w:rPr>
        <w:t xml:space="preserve"> Cigna more broadly acknowledged that HHS’s proposed rule would “</w:t>
      </w:r>
      <w:proofErr w:type="spellStart"/>
      <w:r w:rsidRPr="000F007C">
        <w:rPr>
          <w:rFonts w:ascii="Times New Roman" w:hAnsi="Times New Roman" w:cs="Times New Roman"/>
        </w:rPr>
        <w:t>increas</w:t>
      </w:r>
      <w:proofErr w:type="spellEnd"/>
      <w:r w:rsidRPr="000F007C">
        <w:rPr>
          <w:rFonts w:ascii="Times New Roman" w:hAnsi="Times New Roman" w:cs="Times New Roman"/>
        </w:rPr>
        <w:t xml:space="preserve">[e] the incentives for individuals to maintain enrollment in health coverage and </w:t>
      </w:r>
      <w:proofErr w:type="spellStart"/>
      <w:r w:rsidRPr="000F007C">
        <w:rPr>
          <w:rFonts w:ascii="Times New Roman" w:hAnsi="Times New Roman" w:cs="Times New Roman"/>
        </w:rPr>
        <w:t>decreas</w:t>
      </w:r>
      <w:proofErr w:type="spellEnd"/>
      <w:r w:rsidRPr="000F007C">
        <w:rPr>
          <w:rFonts w:ascii="Times New Roman" w:hAnsi="Times New Roman" w:cs="Times New Roman"/>
        </w:rPr>
        <w:t>[e] incentives for individuals to enroll only after they require medical services.”</w:t>
      </w:r>
      <w:r w:rsidRPr="000F007C">
        <w:rPr>
          <w:rStyle w:val="FootnoteReference"/>
          <w:rFonts w:ascii="Times New Roman" w:hAnsi="Times New Roman" w:cs="Times New Roman"/>
        </w:rPr>
        <w:footnoteReference w:id="12"/>
      </w:r>
    </w:p>
    <w:p w14:paraId="0BE19789" w14:textId="61991ED4" w:rsidR="00FA097B" w:rsidRDefault="006F3311" w:rsidP="00FA097B">
      <w:pPr>
        <w:suppressAutoHyphens/>
        <w:spacing w:line="480" w:lineRule="auto"/>
        <w:ind w:firstLine="720"/>
        <w:rPr>
          <w:rFonts w:ascii="Times New Roman" w:eastAsia="Times New Roman" w:hAnsi="Times New Roman" w:cs="Times New Roman"/>
          <w:shd w:val="clear" w:color="auto" w:fill="FFFFFF"/>
        </w:rPr>
      </w:pPr>
      <w:r>
        <w:rPr>
          <w:rFonts w:ascii="Times New Roman" w:hAnsi="Times New Roman" w:cs="Times New Roman"/>
        </w:rPr>
        <w:t>B</w:t>
      </w:r>
      <w:r w:rsidRPr="000F007C">
        <w:rPr>
          <w:rFonts w:ascii="Times New Roman" w:hAnsi="Times New Roman" w:cs="Times New Roman"/>
        </w:rPr>
        <w:t xml:space="preserve">y the insurance industry’s own </w:t>
      </w:r>
      <w:r>
        <w:rPr>
          <w:rFonts w:ascii="Times New Roman" w:hAnsi="Times New Roman" w:cs="Times New Roman"/>
        </w:rPr>
        <w:t xml:space="preserve">logic, </w:t>
      </w:r>
      <w:r w:rsidRPr="000F007C">
        <w:rPr>
          <w:rFonts w:ascii="Times New Roman" w:hAnsi="Times New Roman" w:cs="Times New Roman"/>
        </w:rPr>
        <w:t>HHS’s new interpretation should</w:t>
      </w:r>
      <w:r w:rsidRPr="00F55058">
        <w:rPr>
          <w:rFonts w:ascii="Times New Roman" w:hAnsi="Times New Roman" w:cs="Times New Roman"/>
        </w:rPr>
        <w:t xml:space="preserve"> </w:t>
      </w:r>
      <w:r w:rsidRPr="000F007C">
        <w:rPr>
          <w:rFonts w:ascii="Times New Roman" w:hAnsi="Times New Roman" w:cs="Times New Roman"/>
        </w:rPr>
        <w:t>encourag</w:t>
      </w:r>
      <w:r>
        <w:rPr>
          <w:rFonts w:ascii="Times New Roman" w:hAnsi="Times New Roman" w:cs="Times New Roman"/>
        </w:rPr>
        <w:t xml:space="preserve">e </w:t>
      </w:r>
      <w:r w:rsidRPr="000F007C">
        <w:rPr>
          <w:rFonts w:ascii="Times New Roman" w:hAnsi="Times New Roman" w:cs="Times New Roman"/>
        </w:rPr>
        <w:t xml:space="preserve">individuals to </w:t>
      </w:r>
      <w:r>
        <w:rPr>
          <w:rFonts w:ascii="Times New Roman" w:hAnsi="Times New Roman" w:cs="Times New Roman"/>
        </w:rPr>
        <w:t>maintain more</w:t>
      </w:r>
      <w:r w:rsidRPr="000F007C">
        <w:rPr>
          <w:rFonts w:ascii="Times New Roman" w:hAnsi="Times New Roman" w:cs="Times New Roman"/>
        </w:rPr>
        <w:t xml:space="preserve"> continuous coverage</w:t>
      </w:r>
      <w:r>
        <w:rPr>
          <w:rFonts w:ascii="Times New Roman" w:hAnsi="Times New Roman" w:cs="Times New Roman"/>
        </w:rPr>
        <w:t xml:space="preserve"> and thus</w:t>
      </w:r>
      <w:r w:rsidRPr="000F007C">
        <w:rPr>
          <w:rFonts w:ascii="Times New Roman" w:hAnsi="Times New Roman" w:cs="Times New Roman"/>
        </w:rPr>
        <w:t xml:space="preserve"> improve the 2018 risk pool. This, in turn, should put downward pressure on rates. </w:t>
      </w:r>
      <w:r>
        <w:rPr>
          <w:rFonts w:ascii="Times New Roman" w:hAnsi="Times New Roman" w:cs="Times New Roman"/>
        </w:rPr>
        <w:t xml:space="preserve"> </w:t>
      </w:r>
      <w:r w:rsidR="004B1FB2">
        <w:rPr>
          <w:rFonts w:ascii="Times New Roman" w:hAnsi="Times New Roman" w:cs="Times New Roman"/>
        </w:rPr>
        <w:t xml:space="preserve">This </w:t>
      </w:r>
      <w:r w:rsidR="009A6189" w:rsidRPr="00371B92">
        <w:rPr>
          <w:rFonts w:ascii="Times New Roman" w:hAnsi="Times New Roman" w:cs="Times New Roman"/>
        </w:rPr>
        <w:t>shared opinion should be reflected in</w:t>
      </w:r>
      <w:r w:rsidR="009876D5" w:rsidRPr="00371B92">
        <w:rPr>
          <w:rFonts w:ascii="Times New Roman" w:hAnsi="Times New Roman" w:cs="Times New Roman"/>
        </w:rPr>
        <w:t xml:space="preserve"> HAL’s</w:t>
      </w:r>
      <w:r w:rsidR="009A6189" w:rsidRPr="00371B92">
        <w:rPr>
          <w:rFonts w:ascii="Times New Roman" w:hAnsi="Times New Roman" w:cs="Times New Roman"/>
        </w:rPr>
        <w:t xml:space="preserve"> 2018 rate justifications.</w:t>
      </w:r>
      <w:r w:rsidR="00167522">
        <w:rPr>
          <w:rFonts w:ascii="Times New Roman" w:hAnsi="Times New Roman" w:cs="Times New Roman"/>
        </w:rPr>
        <w:t xml:space="preserve"> </w:t>
      </w:r>
      <w:r w:rsidR="009A6189" w:rsidRPr="00371B92">
        <w:rPr>
          <w:rFonts w:ascii="Times New Roman" w:hAnsi="Times New Roman" w:cs="Times New Roman"/>
        </w:rPr>
        <w:t xml:space="preserve"> </w:t>
      </w:r>
      <w:r w:rsidR="004B1FB2">
        <w:rPr>
          <w:rFonts w:ascii="Times New Roman" w:hAnsi="Times New Roman" w:cs="Times New Roman"/>
        </w:rPr>
        <w:t>Instead</w:t>
      </w:r>
      <w:r w:rsidR="00EA4901" w:rsidRPr="00371B92">
        <w:rPr>
          <w:rFonts w:ascii="Times New Roman" w:hAnsi="Times New Roman" w:cs="Times New Roman"/>
        </w:rPr>
        <w:t>,</w:t>
      </w:r>
      <w:r w:rsidR="004B1FB2">
        <w:rPr>
          <w:rFonts w:ascii="Times New Roman" w:hAnsi="Times New Roman" w:cs="Times New Roman"/>
        </w:rPr>
        <w:t xml:space="preserve"> however,</w:t>
      </w:r>
      <w:r w:rsidR="00EA4901" w:rsidRPr="00371B92">
        <w:rPr>
          <w:rFonts w:ascii="Times New Roman" w:hAnsi="Times New Roman" w:cs="Times New Roman"/>
        </w:rPr>
        <w:t xml:space="preserve"> HAL </w:t>
      </w:r>
      <w:r w:rsidR="005A41FA">
        <w:rPr>
          <w:rFonts w:ascii="Times New Roman" w:hAnsi="Times New Roman" w:cs="Times New Roman"/>
        </w:rPr>
        <w:t xml:space="preserve">baldly </w:t>
      </w:r>
      <w:r w:rsidR="006C0BD8">
        <w:rPr>
          <w:rFonts w:ascii="Times New Roman" w:hAnsi="Times New Roman" w:cs="Times New Roman"/>
        </w:rPr>
        <w:t>stated</w:t>
      </w:r>
      <w:r w:rsidR="004B1FB2">
        <w:rPr>
          <w:rFonts w:ascii="Times New Roman" w:hAnsi="Times New Roman" w:cs="Times New Roman"/>
        </w:rPr>
        <w:t xml:space="preserve"> in its rate filing</w:t>
      </w:r>
      <w:r w:rsidR="004B1FB2" w:rsidRPr="00371B92">
        <w:rPr>
          <w:rFonts w:ascii="Times New Roman" w:hAnsi="Times New Roman" w:cs="Times New Roman"/>
        </w:rPr>
        <w:t xml:space="preserve"> </w:t>
      </w:r>
      <w:r w:rsidR="00EA4901" w:rsidRPr="00371B92">
        <w:rPr>
          <w:rFonts w:ascii="Times New Roman" w:hAnsi="Times New Roman" w:cs="Times New Roman"/>
        </w:rPr>
        <w:t>that</w:t>
      </w:r>
      <w:r w:rsidR="003374AB" w:rsidRPr="00371B92">
        <w:rPr>
          <w:rFonts w:ascii="Times New Roman" w:hAnsi="Times New Roman" w:cs="Times New Roman"/>
        </w:rPr>
        <w:t xml:space="preserve"> more people will selectively </w:t>
      </w:r>
      <w:r w:rsidR="00E14012" w:rsidRPr="00371B92">
        <w:rPr>
          <w:rFonts w:ascii="Times New Roman" w:hAnsi="Times New Roman" w:cs="Times New Roman"/>
        </w:rPr>
        <w:t>lapse their coverage in 2018 tha</w:t>
      </w:r>
      <w:r w:rsidR="003374AB" w:rsidRPr="00371B92">
        <w:rPr>
          <w:rFonts w:ascii="Times New Roman" w:hAnsi="Times New Roman" w:cs="Times New Roman"/>
        </w:rPr>
        <w:t>n any year prior</w:t>
      </w:r>
      <w:r w:rsidR="005A41FA">
        <w:rPr>
          <w:rFonts w:ascii="Times New Roman" w:hAnsi="Times New Roman" w:cs="Times New Roman"/>
        </w:rPr>
        <w:t>, resulting in “growing market volatility” and “deterioration</w:t>
      </w:r>
      <w:r w:rsidR="003374AB" w:rsidRPr="00371B92">
        <w:rPr>
          <w:rFonts w:ascii="Times New Roman" w:hAnsi="Times New Roman" w:cs="Times New Roman"/>
        </w:rPr>
        <w:t>.</w:t>
      </w:r>
      <w:r w:rsidR="005A41FA">
        <w:rPr>
          <w:rFonts w:ascii="Times New Roman" w:hAnsi="Times New Roman" w:cs="Times New Roman"/>
        </w:rPr>
        <w:t>”</w:t>
      </w:r>
      <w:r w:rsidR="006C0BD8">
        <w:rPr>
          <w:rStyle w:val="FootnoteReference"/>
          <w:rFonts w:ascii="Times New Roman" w:hAnsi="Times New Roman" w:cs="Times New Roman"/>
        </w:rPr>
        <w:footnoteReference w:id="13"/>
      </w:r>
      <w:r w:rsidR="005A41FA">
        <w:rPr>
          <w:rFonts w:ascii="Times New Roman" w:hAnsi="Times New Roman" w:cs="Times New Roman"/>
        </w:rPr>
        <w:t xml:space="preserve">  This unsubstantiated claim must be heavily scrutinized in light of HHS’s reinterpretation of the Guaranteed Availability of Coverage requirements, among other changes announced in the Market Stabilization Rule we discuss below</w:t>
      </w:r>
      <w:r w:rsidR="005A41FA" w:rsidRPr="00371B92">
        <w:rPr>
          <w:rFonts w:ascii="Times New Roman" w:hAnsi="Times New Roman" w:cs="Times New Roman"/>
        </w:rPr>
        <w:t>.</w:t>
      </w:r>
      <w:r w:rsidR="005A41FA">
        <w:rPr>
          <w:rFonts w:ascii="Times New Roman" w:hAnsi="Times New Roman" w:cs="Times New Roman"/>
        </w:rPr>
        <w:t xml:space="preserve"> </w:t>
      </w:r>
      <w:r w:rsidR="003374AB" w:rsidRPr="00371B92">
        <w:rPr>
          <w:rFonts w:ascii="Times New Roman" w:hAnsi="Times New Roman" w:cs="Times New Roman"/>
        </w:rPr>
        <w:t xml:space="preserve"> </w:t>
      </w:r>
      <w:r w:rsidR="00E77E0B" w:rsidRPr="00371B92">
        <w:rPr>
          <w:rFonts w:ascii="Times New Roman" w:hAnsi="Times New Roman" w:cs="Times New Roman"/>
        </w:rPr>
        <w:t>Furthermore, HAL</w:t>
      </w:r>
      <w:r w:rsidR="006C0BD8">
        <w:rPr>
          <w:rFonts w:ascii="Times New Roman" w:hAnsi="Times New Roman" w:cs="Times New Roman"/>
        </w:rPr>
        <w:t xml:space="preserve"> </w:t>
      </w:r>
      <w:r w:rsidR="005A41FA">
        <w:rPr>
          <w:rFonts w:ascii="Times New Roman" w:hAnsi="Times New Roman" w:cs="Times New Roman"/>
        </w:rPr>
        <w:t>“assume</w:t>
      </w:r>
      <w:r w:rsidR="006C0BD8">
        <w:rPr>
          <w:rFonts w:ascii="Times New Roman" w:hAnsi="Times New Roman" w:cs="Times New Roman"/>
        </w:rPr>
        <w:t>[d]</w:t>
      </w:r>
      <w:r w:rsidR="005A41FA">
        <w:rPr>
          <w:rFonts w:ascii="Times New Roman" w:hAnsi="Times New Roman" w:cs="Times New Roman"/>
        </w:rPr>
        <w:t xml:space="preserve"> that all members who lapse coverage will change carriers and Anthem will not receive payment for the missing month of premium.”</w:t>
      </w:r>
      <w:r w:rsidR="006C0BD8">
        <w:rPr>
          <w:rStyle w:val="FootnoteReference"/>
          <w:rFonts w:ascii="Times New Roman" w:hAnsi="Times New Roman" w:cs="Times New Roman"/>
        </w:rPr>
        <w:footnoteReference w:id="14"/>
      </w:r>
      <w:r w:rsidR="005A41FA">
        <w:rPr>
          <w:rFonts w:ascii="Times New Roman" w:hAnsi="Times New Roman" w:cs="Times New Roman"/>
        </w:rPr>
        <w:t xml:space="preserve">  This assumption appears overly conservative in light of the statistics HHS cited in the Market Stabilization Rule and </w:t>
      </w:r>
      <w:r w:rsidR="00E14012" w:rsidRPr="00371B92">
        <w:rPr>
          <w:rFonts w:ascii="Times New Roman" w:hAnsi="Times New Roman" w:cs="Times New Roman"/>
        </w:rPr>
        <w:t>HAL</w:t>
      </w:r>
      <w:r w:rsidR="00E77E0B" w:rsidRPr="00371B92">
        <w:rPr>
          <w:rFonts w:ascii="Times New Roman" w:hAnsi="Times New Roman" w:cs="Times New Roman"/>
        </w:rPr>
        <w:t xml:space="preserve"> provide</w:t>
      </w:r>
      <w:r w:rsidR="006C0BD8">
        <w:rPr>
          <w:rFonts w:ascii="Times New Roman" w:hAnsi="Times New Roman" w:cs="Times New Roman"/>
        </w:rPr>
        <w:t>d</w:t>
      </w:r>
      <w:r w:rsidR="00E14012" w:rsidRPr="00371B92">
        <w:rPr>
          <w:rFonts w:ascii="Times New Roman" w:hAnsi="Times New Roman" w:cs="Times New Roman"/>
        </w:rPr>
        <w:t xml:space="preserve"> no support or justification</w:t>
      </w:r>
      <w:r w:rsidR="005A41FA">
        <w:rPr>
          <w:rFonts w:ascii="Times New Roman" w:hAnsi="Times New Roman" w:cs="Times New Roman"/>
        </w:rPr>
        <w:t xml:space="preserve"> for</w:t>
      </w:r>
      <w:r w:rsidR="00E77E0B" w:rsidRPr="00371B92">
        <w:rPr>
          <w:rFonts w:ascii="Times New Roman" w:hAnsi="Times New Roman" w:cs="Times New Roman"/>
        </w:rPr>
        <w:t xml:space="preserve"> how it reached this conclusion.</w:t>
      </w:r>
      <w:r w:rsidR="00C82FE6">
        <w:rPr>
          <w:rFonts w:ascii="Times New Roman" w:hAnsi="Times New Roman" w:cs="Times New Roman"/>
        </w:rPr>
        <w:t xml:space="preserve">  </w:t>
      </w:r>
      <w:r w:rsidR="00FA097B">
        <w:rPr>
          <w:rFonts w:ascii="Times New Roman" w:hAnsi="Times New Roman" w:cs="Times New Roman"/>
        </w:rPr>
        <w:t xml:space="preserve">Absent further </w:t>
      </w:r>
      <w:r w:rsidR="00FA097B">
        <w:rPr>
          <w:rFonts w:ascii="Times New Roman" w:hAnsi="Times New Roman" w:cs="Times New Roman"/>
        </w:rPr>
        <w:lastRenderedPageBreak/>
        <w:t>clarification from HAL regarding</w:t>
      </w:r>
      <w:r w:rsidR="00FA097B">
        <w:rPr>
          <w:rFonts w:ascii="Times New Roman" w:eastAsia="Times New Roman" w:hAnsi="Times New Roman" w:cs="Times New Roman"/>
          <w:shd w:val="clear" w:color="auto" w:fill="FFFFFF"/>
        </w:rPr>
        <w:t xml:space="preserve"> if and how it took the new interpretation into account, t</w:t>
      </w:r>
      <w:r w:rsidR="00D00161">
        <w:rPr>
          <w:rFonts w:ascii="Times New Roman" w:eastAsia="Times New Roman" w:hAnsi="Times New Roman" w:cs="Times New Roman"/>
          <w:shd w:val="clear" w:color="auto" w:fill="FFFFFF"/>
        </w:rPr>
        <w:t>he Department should deem HAL</w:t>
      </w:r>
      <w:r w:rsidR="00FA097B">
        <w:rPr>
          <w:rFonts w:ascii="Times New Roman" w:eastAsia="Times New Roman" w:hAnsi="Times New Roman" w:cs="Times New Roman"/>
          <w:shd w:val="clear" w:color="auto" w:fill="FFFFFF"/>
        </w:rPr>
        <w:t>’s proposed rate increases unjustified and thus unreasonable.</w:t>
      </w:r>
    </w:p>
    <w:p w14:paraId="187B9DA6" w14:textId="517A6C85" w:rsidR="00FE3D2C" w:rsidRPr="00FA097B" w:rsidRDefault="00FE3D2C" w:rsidP="00FA097B">
      <w:pPr>
        <w:pStyle w:val="ListParagraph"/>
        <w:numPr>
          <w:ilvl w:val="0"/>
          <w:numId w:val="2"/>
        </w:numPr>
        <w:suppressAutoHyphens/>
        <w:spacing w:line="480" w:lineRule="auto"/>
        <w:rPr>
          <w:rFonts w:ascii="Times New Roman" w:hAnsi="Times New Roman" w:cs="Times New Roman"/>
          <w:u w:val="single"/>
        </w:rPr>
      </w:pPr>
      <w:r w:rsidRPr="00FA097B">
        <w:rPr>
          <w:rFonts w:ascii="Times New Roman" w:hAnsi="Times New Roman" w:cs="Times New Roman"/>
          <w:u w:val="single"/>
        </w:rPr>
        <w:t>Open Enrollment Periods (45 C.F.R. § 155.410)</w:t>
      </w:r>
    </w:p>
    <w:p w14:paraId="595BB103" w14:textId="77777777" w:rsidR="00FE3D2C" w:rsidRPr="000F007C" w:rsidRDefault="00FE3D2C" w:rsidP="00FE3D2C">
      <w:pPr>
        <w:suppressAutoHyphens/>
        <w:spacing w:line="480" w:lineRule="auto"/>
        <w:ind w:firstLine="720"/>
        <w:rPr>
          <w:rFonts w:ascii="Times New Roman" w:hAnsi="Times New Roman" w:cs="Times New Roman"/>
        </w:rPr>
      </w:pPr>
      <w:r w:rsidRPr="000F007C">
        <w:rPr>
          <w:rFonts w:ascii="Times New Roman" w:eastAsia="Times New Roman" w:hAnsi="Times New Roman" w:cs="Times New Roman"/>
        </w:rPr>
        <w:t>HHS has shortened the open enrollment period for the 2018 plan year from 90 days to 45 days, with the new open enrollment period beginning on November 1, 2017 and ending on December 15, 2017.</w:t>
      </w:r>
      <w:r w:rsidRPr="000F007C">
        <w:rPr>
          <w:rStyle w:val="FootnoteReference"/>
          <w:rFonts w:ascii="Times New Roman" w:eastAsia="Times New Roman" w:hAnsi="Times New Roman" w:cs="Times New Roman"/>
        </w:rPr>
        <w:footnoteReference w:id="15"/>
      </w:r>
      <w:r w:rsidRPr="000F007C">
        <w:rPr>
          <w:rFonts w:ascii="Times New Roman" w:eastAsia="Times New Roman" w:hAnsi="Times New Roman" w:cs="Times New Roman"/>
        </w:rPr>
        <w:t xml:space="preserve">  HHS adopted this change to improve the morbidity of the risk pool, “by reducing opportunities for adverse selection by those who learn they will need medical services in late December and January[] and [by] </w:t>
      </w:r>
      <w:proofErr w:type="spellStart"/>
      <w:r w:rsidRPr="000F007C">
        <w:rPr>
          <w:rFonts w:ascii="Times New Roman" w:eastAsia="Times New Roman" w:hAnsi="Times New Roman" w:cs="Times New Roman"/>
        </w:rPr>
        <w:t>encourag</w:t>
      </w:r>
      <w:proofErr w:type="spellEnd"/>
      <w:r w:rsidRPr="000F007C">
        <w:rPr>
          <w:rFonts w:ascii="Times New Roman" w:eastAsia="Times New Roman" w:hAnsi="Times New Roman" w:cs="Times New Roman"/>
        </w:rPr>
        <w:t>[</w:t>
      </w:r>
      <w:proofErr w:type="spellStart"/>
      <w:r w:rsidRPr="000F007C">
        <w:rPr>
          <w:rFonts w:ascii="Times New Roman" w:eastAsia="Times New Roman" w:hAnsi="Times New Roman" w:cs="Times New Roman"/>
        </w:rPr>
        <w:t>ing</w:t>
      </w:r>
      <w:proofErr w:type="spellEnd"/>
      <w:r w:rsidRPr="000F007C">
        <w:rPr>
          <w:rFonts w:ascii="Times New Roman" w:eastAsia="Times New Roman" w:hAnsi="Times New Roman" w:cs="Times New Roman"/>
        </w:rPr>
        <w:t>] healthier individuals who might have previously enrolled in partial year coverage after December 15th to instead enroll in coverage for the full year.”</w:t>
      </w:r>
      <w:r w:rsidRPr="000F007C">
        <w:rPr>
          <w:rStyle w:val="FootnoteReference"/>
          <w:rFonts w:ascii="Times New Roman" w:eastAsia="Times New Roman" w:hAnsi="Times New Roman" w:cs="Times New Roman"/>
        </w:rPr>
        <w:footnoteReference w:id="16"/>
      </w:r>
      <w:r w:rsidRPr="000F007C">
        <w:rPr>
          <w:rFonts w:ascii="Times New Roman" w:eastAsia="Times New Roman" w:hAnsi="Times New Roman" w:cs="Times New Roman"/>
        </w:rPr>
        <w:t xml:space="preserve"> </w:t>
      </w:r>
    </w:p>
    <w:p w14:paraId="2DA29369" w14:textId="60DC025D" w:rsidR="00FE3D2C" w:rsidRPr="000F007C" w:rsidRDefault="00D00161" w:rsidP="00FE3D2C">
      <w:pPr>
        <w:suppressAutoHyphens/>
        <w:spacing w:line="480" w:lineRule="auto"/>
        <w:ind w:firstLine="720"/>
        <w:rPr>
          <w:rFonts w:ascii="Times New Roman" w:hAnsi="Times New Roman" w:cs="Times New Roman"/>
        </w:rPr>
      </w:pPr>
      <w:r>
        <w:rPr>
          <w:rFonts w:ascii="Times New Roman" w:eastAsia="Times New Roman" w:hAnsi="Times New Roman" w:cs="Times New Roman"/>
        </w:rPr>
        <w:t>Issuers</w:t>
      </w:r>
      <w:r w:rsidR="00FE3D2C" w:rsidRPr="000F007C">
        <w:rPr>
          <w:rFonts w:ascii="Times New Roman" w:eastAsia="Times New Roman" w:hAnsi="Times New Roman" w:cs="Times New Roman"/>
        </w:rPr>
        <w:t xml:space="preserve"> applauded this change.</w:t>
      </w:r>
      <w:r w:rsidR="00FE3D2C" w:rsidRPr="000F007C">
        <w:rPr>
          <w:rStyle w:val="FootnoteReference"/>
          <w:rFonts w:ascii="Times New Roman" w:eastAsia="Times New Roman" w:hAnsi="Times New Roman" w:cs="Times New Roman"/>
        </w:rPr>
        <w:footnoteReference w:id="17"/>
      </w:r>
      <w:r w:rsidR="00FE3D2C" w:rsidRPr="000F007C">
        <w:rPr>
          <w:rFonts w:ascii="Times New Roman" w:eastAsia="Times New Roman" w:hAnsi="Times New Roman" w:cs="Times New Roman"/>
        </w:rPr>
        <w:t xml:space="preserve"> </w:t>
      </w:r>
      <w:r w:rsidR="00FE3D2C" w:rsidRPr="000F007C">
        <w:rPr>
          <w:rFonts w:ascii="Times New Roman" w:eastAsia="Times New Roman" w:hAnsi="Times New Roman" w:cs="Times New Roman"/>
          <w:shd w:val="clear" w:color="auto" w:fill="FFFFFF"/>
        </w:rPr>
        <w:t xml:space="preserve">In its comments on the proposed rule, </w:t>
      </w:r>
      <w:r w:rsidR="00FE3D2C">
        <w:rPr>
          <w:rFonts w:ascii="Times New Roman" w:eastAsia="Times New Roman" w:hAnsi="Times New Roman" w:cs="Times New Roman"/>
          <w:shd w:val="clear" w:color="auto" w:fill="FFFFFF"/>
        </w:rPr>
        <w:t xml:space="preserve">Anthem </w:t>
      </w:r>
      <w:r w:rsidR="00FE3D2C" w:rsidRPr="000F007C">
        <w:rPr>
          <w:rFonts w:ascii="Times New Roman" w:eastAsia="Times New Roman" w:hAnsi="Times New Roman" w:cs="Times New Roman"/>
          <w:shd w:val="clear" w:color="auto" w:fill="FFFFFF"/>
        </w:rPr>
        <w:t>stated that it believed a shorter enrollment period “will improve the risk pool.”</w:t>
      </w:r>
      <w:r w:rsidR="00FE3D2C" w:rsidRPr="000F007C">
        <w:rPr>
          <w:rStyle w:val="FootnoteReference"/>
          <w:rFonts w:ascii="Times New Roman" w:eastAsia="Times New Roman" w:hAnsi="Times New Roman" w:cs="Times New Roman"/>
          <w:shd w:val="clear" w:color="auto" w:fill="FFFFFF"/>
        </w:rPr>
        <w:footnoteReference w:id="18"/>
      </w:r>
      <w:r w:rsidR="00FE3D2C">
        <w:rPr>
          <w:rFonts w:ascii="Times New Roman" w:eastAsia="Times New Roman" w:hAnsi="Times New Roman" w:cs="Times New Roman"/>
          <w:shd w:val="clear" w:color="auto" w:fill="FFFFFF"/>
        </w:rPr>
        <w:t xml:space="preserve"> </w:t>
      </w:r>
      <w:r w:rsidR="00FE3D2C" w:rsidRPr="000F007C">
        <w:rPr>
          <w:rFonts w:ascii="Times New Roman" w:eastAsia="Times New Roman" w:hAnsi="Times New Roman" w:cs="Times New Roman"/>
          <w:shd w:val="clear" w:color="auto" w:fill="FFFFFF"/>
        </w:rPr>
        <w:t xml:space="preserve"> </w:t>
      </w:r>
      <w:proofErr w:type="spellStart"/>
      <w:r w:rsidR="00FE3D2C" w:rsidRPr="000F007C">
        <w:rPr>
          <w:rFonts w:ascii="Times New Roman" w:eastAsia="Times New Roman" w:hAnsi="Times New Roman" w:cs="Times New Roman"/>
          <w:shd w:val="clear" w:color="auto" w:fill="FFFFFF"/>
        </w:rPr>
        <w:t>Centene</w:t>
      </w:r>
      <w:proofErr w:type="spellEnd"/>
      <w:r w:rsidR="00FE3D2C" w:rsidRPr="000F007C">
        <w:rPr>
          <w:rFonts w:ascii="Times New Roman" w:eastAsia="Times New Roman" w:hAnsi="Times New Roman" w:cs="Times New Roman"/>
          <w:shd w:val="clear" w:color="auto" w:fill="FFFFFF"/>
        </w:rPr>
        <w:t xml:space="preserve"> agreed that the change “will promote a stable risk pool.”</w:t>
      </w:r>
      <w:r w:rsidR="00FE3D2C" w:rsidRPr="000F007C">
        <w:rPr>
          <w:rStyle w:val="FootnoteReference"/>
          <w:rFonts w:ascii="Times New Roman" w:eastAsia="Times New Roman" w:hAnsi="Times New Roman" w:cs="Times New Roman"/>
          <w:shd w:val="clear" w:color="auto" w:fill="FFFFFF"/>
        </w:rPr>
        <w:footnoteReference w:id="19"/>
      </w:r>
      <w:r w:rsidR="00FE3D2C">
        <w:rPr>
          <w:rFonts w:ascii="Times New Roman" w:eastAsia="Times New Roman" w:hAnsi="Times New Roman" w:cs="Times New Roman"/>
          <w:shd w:val="clear" w:color="auto" w:fill="FFFFFF"/>
        </w:rPr>
        <w:t xml:space="preserve"> </w:t>
      </w:r>
      <w:r w:rsidR="00FE3D2C" w:rsidRPr="000F007C">
        <w:rPr>
          <w:rFonts w:ascii="Times New Roman" w:eastAsia="Times New Roman" w:hAnsi="Times New Roman" w:cs="Times New Roman"/>
          <w:shd w:val="clear" w:color="auto" w:fill="FFFFFF"/>
        </w:rPr>
        <w:t xml:space="preserve"> Cigna</w:t>
      </w:r>
      <w:r w:rsidR="00FE3D2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elaborated</w:t>
      </w:r>
      <w:r w:rsidR="00FE3D2C" w:rsidRPr="000F007C">
        <w:rPr>
          <w:rFonts w:ascii="Times New Roman" w:eastAsia="Times New Roman" w:hAnsi="Times New Roman" w:cs="Times New Roman"/>
          <w:shd w:val="clear" w:color="auto" w:fill="FFFFFF"/>
        </w:rPr>
        <w:t xml:space="preserve"> that, “</w:t>
      </w:r>
      <w:r w:rsidR="00FE3D2C">
        <w:rPr>
          <w:rFonts w:ascii="Times New Roman" w:eastAsia="Times New Roman" w:hAnsi="Times New Roman" w:cs="Times New Roman"/>
          <w:shd w:val="clear" w:color="auto" w:fill="FFFFFF"/>
        </w:rPr>
        <w:t>[s]</w:t>
      </w:r>
      <w:proofErr w:type="spellStart"/>
      <w:r w:rsidR="00FE3D2C" w:rsidRPr="000F007C">
        <w:rPr>
          <w:rFonts w:ascii="Times New Roman" w:eastAsia="Times New Roman" w:hAnsi="Times New Roman" w:cs="Times New Roman"/>
          <w:shd w:val="clear" w:color="auto" w:fill="FFFFFF"/>
        </w:rPr>
        <w:t>hortening</w:t>
      </w:r>
      <w:proofErr w:type="spellEnd"/>
      <w:r w:rsidR="00FE3D2C" w:rsidRPr="000F007C">
        <w:rPr>
          <w:rFonts w:ascii="Times New Roman" w:eastAsia="Times New Roman" w:hAnsi="Times New Roman" w:cs="Times New Roman"/>
          <w:shd w:val="clear" w:color="auto" w:fill="FFFFFF"/>
        </w:rPr>
        <w:t xml:space="preserve"> open enrollment to end on December 15</w:t>
      </w:r>
      <w:r w:rsidR="00FE3D2C" w:rsidRPr="000F007C">
        <w:rPr>
          <w:rFonts w:ascii="Times New Roman" w:eastAsia="Times New Roman" w:hAnsi="Times New Roman" w:cs="Times New Roman"/>
          <w:shd w:val="clear" w:color="auto" w:fill="FFFFFF"/>
          <w:vertAlign w:val="superscript"/>
        </w:rPr>
        <w:t>th</w:t>
      </w:r>
      <w:r w:rsidR="00FE3D2C" w:rsidRPr="000F007C">
        <w:rPr>
          <w:rFonts w:ascii="Times New Roman" w:eastAsia="Times New Roman" w:hAnsi="Times New Roman" w:cs="Times New Roman"/>
          <w:shd w:val="clear" w:color="auto" w:fill="FFFFFF"/>
        </w:rPr>
        <w:t xml:space="preserve"> ensures everyone’s coverage is effective the first day of the plan year which complements the underlying goal of full year continuous coverage and risk pool stability.”</w:t>
      </w:r>
      <w:r w:rsidR="00FE3D2C" w:rsidRPr="000F007C">
        <w:rPr>
          <w:rStyle w:val="FootnoteReference"/>
          <w:rFonts w:ascii="Times New Roman" w:eastAsia="Times New Roman" w:hAnsi="Times New Roman" w:cs="Times New Roman"/>
          <w:shd w:val="clear" w:color="auto" w:fill="FFFFFF"/>
        </w:rPr>
        <w:footnoteReference w:id="20"/>
      </w:r>
      <w:r w:rsidR="00FE3D2C">
        <w:rPr>
          <w:rFonts w:ascii="Times New Roman" w:eastAsia="Times New Roman" w:hAnsi="Times New Roman" w:cs="Times New Roman"/>
          <w:shd w:val="clear" w:color="auto" w:fill="FFFFFF"/>
        </w:rPr>
        <w:t xml:space="preserve">  The BlueCross BlueShield Association </w:t>
      </w:r>
      <w:r>
        <w:rPr>
          <w:rFonts w:ascii="Times New Roman" w:eastAsia="Times New Roman" w:hAnsi="Times New Roman" w:cs="Times New Roman"/>
          <w:shd w:val="clear" w:color="auto" w:fill="FFFFFF"/>
        </w:rPr>
        <w:t>likewise</w:t>
      </w:r>
      <w:r w:rsidR="00FE3D2C">
        <w:rPr>
          <w:rFonts w:ascii="Times New Roman" w:eastAsia="Times New Roman" w:hAnsi="Times New Roman" w:cs="Times New Roman"/>
          <w:shd w:val="clear" w:color="auto" w:fill="FFFFFF"/>
        </w:rPr>
        <w:t xml:space="preserve"> state</w:t>
      </w:r>
      <w:r>
        <w:rPr>
          <w:rFonts w:ascii="Times New Roman" w:eastAsia="Times New Roman" w:hAnsi="Times New Roman" w:cs="Times New Roman"/>
          <w:shd w:val="clear" w:color="auto" w:fill="FFFFFF"/>
        </w:rPr>
        <w:t>d</w:t>
      </w:r>
      <w:r w:rsidR="00FE3D2C">
        <w:rPr>
          <w:rFonts w:ascii="Times New Roman" w:eastAsia="Times New Roman" w:hAnsi="Times New Roman" w:cs="Times New Roman"/>
          <w:shd w:val="clear" w:color="auto" w:fill="FFFFFF"/>
        </w:rPr>
        <w:t xml:space="preserve"> that shortening the open enrollment period was “</w:t>
      </w:r>
      <w:r w:rsidR="00FE3D2C" w:rsidRPr="00371B92">
        <w:rPr>
          <w:rFonts w:ascii="Times New Roman" w:eastAsia="Times New Roman" w:hAnsi="Times New Roman" w:cs="Times New Roman"/>
          <w:shd w:val="clear" w:color="auto" w:fill="FFFFFF"/>
        </w:rPr>
        <w:t>critical</w:t>
      </w:r>
      <w:r w:rsidR="00FE3D2C">
        <w:rPr>
          <w:rFonts w:ascii="Times New Roman" w:eastAsia="Times New Roman" w:hAnsi="Times New Roman" w:cs="Times New Roman"/>
          <w:shd w:val="clear" w:color="auto" w:fill="FFFFFF"/>
        </w:rPr>
        <w:t>”</w:t>
      </w:r>
      <w:r w:rsidR="00FE3D2C" w:rsidRPr="00371B92">
        <w:rPr>
          <w:rFonts w:ascii="Times New Roman" w:eastAsia="Times New Roman" w:hAnsi="Times New Roman" w:cs="Times New Roman"/>
          <w:shd w:val="clear" w:color="auto" w:fill="FFFFFF"/>
        </w:rPr>
        <w:t xml:space="preserve"> </w:t>
      </w:r>
      <w:r w:rsidR="00FE3D2C">
        <w:rPr>
          <w:rFonts w:ascii="Times New Roman" w:eastAsia="Times New Roman" w:hAnsi="Times New Roman" w:cs="Times New Roman"/>
          <w:shd w:val="clear" w:color="auto" w:fill="FFFFFF"/>
        </w:rPr>
        <w:t>“to encourage</w:t>
      </w:r>
      <w:r w:rsidR="00FE3D2C" w:rsidRPr="00371B92">
        <w:rPr>
          <w:rFonts w:ascii="Times New Roman" w:eastAsia="Times New Roman" w:hAnsi="Times New Roman" w:cs="Times New Roman"/>
          <w:shd w:val="clear" w:color="auto" w:fill="FFFFFF"/>
        </w:rPr>
        <w:t xml:space="preserve"> that consumers maintain coverage for a full year</w:t>
      </w:r>
      <w:r w:rsidR="00FE3D2C">
        <w:rPr>
          <w:rFonts w:ascii="Times New Roman" w:eastAsia="Times New Roman" w:hAnsi="Times New Roman" w:cs="Times New Roman"/>
          <w:shd w:val="clear" w:color="auto" w:fill="FFFFFF"/>
        </w:rPr>
        <w:t>.”</w:t>
      </w:r>
      <w:r w:rsidR="00FE3D2C">
        <w:rPr>
          <w:rStyle w:val="FootnoteReference"/>
          <w:rFonts w:ascii="Times New Roman" w:eastAsia="Times New Roman" w:hAnsi="Times New Roman" w:cs="Times New Roman"/>
          <w:shd w:val="clear" w:color="auto" w:fill="FFFFFF"/>
        </w:rPr>
        <w:footnoteReference w:id="21"/>
      </w:r>
    </w:p>
    <w:p w14:paraId="1B2FEBF4" w14:textId="1E04C295" w:rsidR="00FE3D2C" w:rsidRPr="00D00161" w:rsidRDefault="00D00161" w:rsidP="00D00161">
      <w:pPr>
        <w:tabs>
          <w:tab w:val="left" w:pos="720"/>
        </w:tabs>
        <w:spacing w:line="480" w:lineRule="auto"/>
        <w:rPr>
          <w:rFonts w:ascii="Times New Roman" w:eastAsia="Times New Roman" w:hAnsi="Times New Roman" w:cs="Times New Roman"/>
        </w:rPr>
      </w:pPr>
      <w:r>
        <w:rPr>
          <w:rFonts w:ascii="Times New Roman" w:hAnsi="Times New Roman" w:cs="Times New Roman"/>
        </w:rPr>
        <w:tab/>
      </w:r>
      <w:r w:rsidR="00FE3D2C" w:rsidRPr="000F007C">
        <w:rPr>
          <w:rFonts w:ascii="Times New Roman" w:hAnsi="Times New Roman" w:cs="Times New Roman"/>
        </w:rPr>
        <w:t xml:space="preserve">Despite this consensus view among issuers, it is not apparent that </w:t>
      </w:r>
      <w:r w:rsidR="00FE3D2C">
        <w:rPr>
          <w:rFonts w:ascii="Times New Roman" w:hAnsi="Times New Roman" w:cs="Times New Roman"/>
        </w:rPr>
        <w:t>HAL</w:t>
      </w:r>
      <w:r w:rsidR="00FE3D2C" w:rsidRPr="000F007C">
        <w:rPr>
          <w:rFonts w:ascii="Times New Roman" w:hAnsi="Times New Roman" w:cs="Times New Roman"/>
        </w:rPr>
        <w:t xml:space="preserve"> took this change into consideration in its proposed rate increase.  While it may have been one of the </w:t>
      </w:r>
      <w:r w:rsidR="00FE3D2C">
        <w:rPr>
          <w:rFonts w:ascii="Times New Roman" w:hAnsi="Times New Roman" w:cs="Times New Roman"/>
        </w:rPr>
        <w:t>assumptions HAL has relied on</w:t>
      </w:r>
      <w:r w:rsidR="00FE3D2C" w:rsidRPr="000F007C">
        <w:rPr>
          <w:rFonts w:ascii="Times New Roman" w:hAnsi="Times New Roman" w:cs="Times New Roman"/>
        </w:rPr>
        <w:t xml:space="preserve"> when formulating its Morbidity Factor, </w:t>
      </w:r>
      <w:r w:rsidR="00FE3D2C">
        <w:rPr>
          <w:rFonts w:ascii="Times New Roman" w:hAnsi="Times New Roman" w:cs="Times New Roman"/>
        </w:rPr>
        <w:t xml:space="preserve">it </w:t>
      </w:r>
      <w:r w:rsidR="00FE3D2C" w:rsidRPr="000F007C">
        <w:rPr>
          <w:rFonts w:ascii="Times New Roman" w:hAnsi="Times New Roman" w:cs="Times New Roman"/>
        </w:rPr>
        <w:t xml:space="preserve">never stated as much in its Actuarial </w:t>
      </w:r>
      <w:r w:rsidR="00FE3D2C" w:rsidRPr="000F007C">
        <w:rPr>
          <w:rFonts w:ascii="Times New Roman" w:hAnsi="Times New Roman" w:cs="Times New Roman"/>
        </w:rPr>
        <w:lastRenderedPageBreak/>
        <w:t>Memorandum.</w:t>
      </w:r>
      <w:r>
        <w:rPr>
          <w:rFonts w:ascii="Times New Roman" w:hAnsi="Times New Roman" w:cs="Times New Roman"/>
        </w:rPr>
        <w:t xml:space="preserve"> </w:t>
      </w:r>
      <w:r w:rsidR="00FE3D2C" w:rsidRPr="000F007C">
        <w:rPr>
          <w:rFonts w:ascii="Times New Roman" w:hAnsi="Times New Roman" w:cs="Times New Roman"/>
        </w:rPr>
        <w:t xml:space="preserve"> And because </w:t>
      </w:r>
      <w:r w:rsidR="00FE3D2C">
        <w:rPr>
          <w:rFonts w:ascii="Times New Roman" w:hAnsi="Times New Roman" w:cs="Times New Roman"/>
        </w:rPr>
        <w:t>HAL</w:t>
      </w:r>
      <w:r w:rsidR="00FE3D2C" w:rsidRPr="000F007C">
        <w:rPr>
          <w:rFonts w:ascii="Times New Roman" w:hAnsi="Times New Roman" w:cs="Times New Roman"/>
        </w:rPr>
        <w:t xml:space="preserve"> </w:t>
      </w:r>
      <w:r w:rsidR="00FE3D2C">
        <w:rPr>
          <w:rFonts w:ascii="Times New Roman" w:hAnsi="Times New Roman" w:cs="Times New Roman"/>
        </w:rPr>
        <w:t>completely redacted its morbidity calculation</w:t>
      </w:r>
      <w:r w:rsidR="00FE3D2C" w:rsidRPr="000F007C">
        <w:rPr>
          <w:rFonts w:ascii="Times New Roman" w:hAnsi="Times New Roman" w:cs="Times New Roman"/>
        </w:rPr>
        <w:t>, it is impossible to ascertain whether the shortened enrollment period was considered.</w:t>
      </w:r>
      <w:r>
        <w:rPr>
          <w:rFonts w:ascii="Times New Roman" w:hAnsi="Times New Roman" w:cs="Times New Roman"/>
        </w:rPr>
        <w:t xml:space="preserve"> </w:t>
      </w:r>
      <w:r w:rsidR="00FE3D2C" w:rsidRPr="000F007C">
        <w:rPr>
          <w:rFonts w:ascii="Times New Roman" w:hAnsi="Times New Roman" w:cs="Times New Roman"/>
        </w:rPr>
        <w:t xml:space="preserve"> </w:t>
      </w:r>
      <w:r>
        <w:rPr>
          <w:rFonts w:ascii="Times New Roman" w:hAnsi="Times New Roman" w:cs="Times New Roman"/>
        </w:rPr>
        <w:t>Absent further clarification from HAL regarding</w:t>
      </w:r>
      <w:r>
        <w:rPr>
          <w:rFonts w:ascii="Times New Roman" w:eastAsia="Times New Roman" w:hAnsi="Times New Roman" w:cs="Times New Roman"/>
          <w:shd w:val="clear" w:color="auto" w:fill="FFFFFF"/>
        </w:rPr>
        <w:t xml:space="preserve"> if and how it took this change into account, the Department should deem HAL’s proposed rate increases unjustified and thus unreasonable.</w:t>
      </w:r>
    </w:p>
    <w:p w14:paraId="29997690" w14:textId="77116D13" w:rsidR="003374AB" w:rsidRPr="00AA55B1" w:rsidRDefault="003374AB" w:rsidP="00AA55B1">
      <w:pPr>
        <w:pStyle w:val="ListParagraph"/>
        <w:numPr>
          <w:ilvl w:val="0"/>
          <w:numId w:val="2"/>
        </w:numPr>
        <w:spacing w:line="480" w:lineRule="auto"/>
        <w:rPr>
          <w:rFonts w:ascii="Times New Roman" w:hAnsi="Times New Roman" w:cs="Times New Roman"/>
          <w:u w:val="single"/>
        </w:rPr>
      </w:pPr>
      <w:r w:rsidRPr="00AA55B1">
        <w:rPr>
          <w:rFonts w:ascii="Times New Roman" w:hAnsi="Times New Roman" w:cs="Times New Roman"/>
          <w:u w:val="single"/>
        </w:rPr>
        <w:t>Special Enrollment Periods (</w:t>
      </w:r>
      <w:r w:rsidR="005A41FA" w:rsidRPr="00AA55B1">
        <w:rPr>
          <w:rFonts w:ascii="Times New Roman" w:hAnsi="Times New Roman" w:cs="Times New Roman"/>
          <w:u w:val="single"/>
        </w:rPr>
        <w:t xml:space="preserve">45 C.F.R. </w:t>
      </w:r>
      <w:r w:rsidRPr="00AA55B1">
        <w:rPr>
          <w:rFonts w:ascii="Times New Roman" w:hAnsi="Times New Roman" w:cs="Times New Roman"/>
          <w:u w:val="single"/>
        </w:rPr>
        <w:t>§ 155.420)</w:t>
      </w:r>
    </w:p>
    <w:p w14:paraId="6D4E8486" w14:textId="76D83003" w:rsidR="00AC6748" w:rsidRPr="000F007C" w:rsidRDefault="00AC6748" w:rsidP="00851C4A">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Special enrollment periods ensure that people who lose health insurance during the year—due to the non-voluntary loss of minimum essential coverage provided through an employer or other qualifying events such as marriage or birth or adoption of a child—have the opportunity to enroll in new coverage or make changes to their existing coverage.</w:t>
      </w:r>
      <w:r w:rsidRPr="000F007C">
        <w:rPr>
          <w:rStyle w:val="FootnoteReference"/>
          <w:rFonts w:ascii="Times New Roman" w:eastAsia="Times New Roman" w:hAnsi="Times New Roman" w:cs="Times New Roman"/>
          <w:shd w:val="clear" w:color="auto" w:fill="FFFFFF"/>
        </w:rPr>
        <w:footnoteReference w:id="22"/>
      </w:r>
      <w:r w:rsidR="00B66A6F">
        <w:rPr>
          <w:rFonts w:ascii="Times New Roman" w:eastAsia="Times New Roman" w:hAnsi="Times New Roman" w:cs="Times New Roman"/>
          <w:shd w:val="clear" w:color="auto" w:fill="FFFFFF"/>
        </w:rPr>
        <w:t xml:space="preserve"> </w:t>
      </w:r>
      <w:r w:rsidRPr="000F007C">
        <w:rPr>
          <w:rFonts w:ascii="Times New Roman" w:eastAsia="Times New Roman" w:hAnsi="Times New Roman" w:cs="Times New Roman"/>
          <w:shd w:val="clear" w:color="auto" w:fill="FFFFFF"/>
        </w:rPr>
        <w:t xml:space="preserve"> Issuers have raised concerns, however, that allowing previously uninsured individuals to enroll in coverage via a special enrollment period can increase the risk of adverse selection, negatively impact the risk pool, and contribute to market instability by leading issuers to leave the market.</w:t>
      </w:r>
      <w:r w:rsidRPr="000F007C">
        <w:rPr>
          <w:rStyle w:val="FootnoteReference"/>
          <w:rFonts w:ascii="Times New Roman" w:eastAsia="Times New Roman" w:hAnsi="Times New Roman" w:cs="Times New Roman"/>
          <w:shd w:val="clear" w:color="auto" w:fill="FFFFFF"/>
        </w:rPr>
        <w:footnoteReference w:id="23"/>
      </w:r>
      <w:r w:rsidRPr="000F007C">
        <w:rPr>
          <w:rFonts w:ascii="Times New Roman" w:eastAsia="Times New Roman" w:hAnsi="Times New Roman" w:cs="Times New Roman"/>
          <w:shd w:val="clear" w:color="auto" w:fill="FFFFFF"/>
        </w:rPr>
        <w:t xml:space="preserve">  Issuers have also specifically criticized HHS’s decision to allow consumers to self-attest to their eligibility for most special enrollment periods, with trade groups arguing that “without verification, a significant number of people will only purchase coverage when they need it, driving up cost for everyone.”</w:t>
      </w:r>
      <w:r w:rsidRPr="000F007C">
        <w:rPr>
          <w:rStyle w:val="FootnoteReference"/>
          <w:rFonts w:ascii="Times New Roman" w:eastAsia="Times New Roman" w:hAnsi="Times New Roman" w:cs="Times New Roman"/>
          <w:shd w:val="clear" w:color="auto" w:fill="FFFFFF"/>
        </w:rPr>
        <w:footnoteReference w:id="24"/>
      </w:r>
      <w:r w:rsidRPr="000F007C">
        <w:rPr>
          <w:rFonts w:ascii="Times New Roman" w:eastAsia="Times New Roman" w:hAnsi="Times New Roman" w:cs="Times New Roman"/>
          <w:shd w:val="clear" w:color="auto" w:fill="FFFFFF"/>
        </w:rPr>
        <w:t xml:space="preserve"> </w:t>
      </w:r>
    </w:p>
    <w:p w14:paraId="783EFDCA" w14:textId="2FC6399F" w:rsidR="00AC6748" w:rsidRPr="000F007C" w:rsidRDefault="00AC6748" w:rsidP="00851C4A">
      <w:pPr>
        <w:suppressAutoHyphens/>
        <w:spacing w:line="480" w:lineRule="auto"/>
        <w:ind w:firstLine="720"/>
        <w:rPr>
          <w:rFonts w:ascii="Times New Roman" w:eastAsia="Times New Roman" w:hAnsi="Times New Roman" w:cs="Times New Roman"/>
        </w:rPr>
      </w:pPr>
      <w:r w:rsidRPr="000F007C">
        <w:rPr>
          <w:rFonts w:ascii="Times New Roman" w:eastAsia="Times New Roman" w:hAnsi="Times New Roman" w:cs="Times New Roman"/>
          <w:shd w:val="clear" w:color="auto" w:fill="FFFFFF"/>
        </w:rPr>
        <w:t>In response to these concerns, HHS amended the regulations governing special enrollment periods in the Market Stabilization Rule.</w:t>
      </w:r>
      <w:r w:rsidRPr="000F007C">
        <w:rPr>
          <w:rStyle w:val="FootnoteReference"/>
          <w:rFonts w:ascii="Times New Roman" w:eastAsia="Times New Roman" w:hAnsi="Times New Roman" w:cs="Times New Roman"/>
          <w:shd w:val="clear" w:color="auto" w:fill="FFFFFF"/>
        </w:rPr>
        <w:footnoteReference w:id="25"/>
      </w:r>
      <w:r w:rsidRPr="000F007C">
        <w:rPr>
          <w:rFonts w:ascii="Times New Roman" w:eastAsia="Times New Roman" w:hAnsi="Times New Roman" w:cs="Times New Roman"/>
          <w:shd w:val="clear" w:color="auto" w:fill="FFFFFF"/>
        </w:rPr>
        <w:t xml:space="preserve">  Effective June 2017, any individual attempting to enroll using a special enrollment period must undergo pre-enrollment verification of their eligibility.</w:t>
      </w:r>
      <w:r w:rsidRPr="000F007C">
        <w:rPr>
          <w:rStyle w:val="FootnoteReference"/>
          <w:rFonts w:ascii="Times New Roman" w:eastAsia="Times New Roman" w:hAnsi="Times New Roman" w:cs="Times New Roman"/>
          <w:shd w:val="clear" w:color="auto" w:fill="FFFFFF"/>
        </w:rPr>
        <w:footnoteReference w:id="26"/>
      </w:r>
      <w:r w:rsidRPr="000F007C">
        <w:rPr>
          <w:rFonts w:ascii="Times New Roman" w:eastAsia="Times New Roman" w:hAnsi="Times New Roman" w:cs="Times New Roman"/>
          <w:shd w:val="clear" w:color="auto" w:fill="FFFFFF"/>
        </w:rPr>
        <w:t xml:space="preserve"> </w:t>
      </w:r>
      <w:r w:rsidR="00B66A6F">
        <w:rPr>
          <w:rFonts w:ascii="Times New Roman" w:eastAsia="Times New Roman" w:hAnsi="Times New Roman" w:cs="Times New Roman"/>
          <w:shd w:val="clear" w:color="auto" w:fill="FFFFFF"/>
        </w:rPr>
        <w:t xml:space="preserve"> </w:t>
      </w:r>
      <w:r w:rsidRPr="000F007C">
        <w:rPr>
          <w:rFonts w:ascii="Times New Roman" w:eastAsia="Times New Roman" w:hAnsi="Times New Roman" w:cs="Times New Roman"/>
          <w:shd w:val="clear" w:color="auto" w:fill="FFFFFF"/>
        </w:rPr>
        <w:t xml:space="preserve">In addition, </w:t>
      </w:r>
      <w:r w:rsidR="00B66A6F">
        <w:rPr>
          <w:rFonts w:ascii="Times New Roman" w:eastAsia="Times New Roman" w:hAnsi="Times New Roman" w:cs="Times New Roman"/>
          <w:shd w:val="clear" w:color="auto" w:fill="FFFFFF"/>
        </w:rPr>
        <w:t>HHS limited</w:t>
      </w:r>
      <w:r w:rsidRPr="000F007C">
        <w:rPr>
          <w:rFonts w:ascii="Times New Roman" w:eastAsia="Times New Roman" w:hAnsi="Times New Roman" w:cs="Times New Roman"/>
          <w:shd w:val="clear" w:color="auto" w:fill="FFFFFF"/>
        </w:rPr>
        <w:t xml:space="preserve"> the extent to which individuals can obtain more </w:t>
      </w:r>
      <w:r w:rsidRPr="000F007C">
        <w:rPr>
          <w:rFonts w:ascii="Times New Roman" w:eastAsia="Times New Roman" w:hAnsi="Times New Roman" w:cs="Times New Roman"/>
          <w:shd w:val="clear" w:color="auto" w:fill="FFFFFF"/>
        </w:rPr>
        <w:lastRenderedPageBreak/>
        <w:t>comprehensive coverage during a special enrollment period</w:t>
      </w:r>
      <w:r w:rsidRPr="000F007C">
        <w:rPr>
          <w:rStyle w:val="FootnoteReference"/>
          <w:rFonts w:ascii="Times New Roman" w:eastAsia="Times New Roman" w:hAnsi="Times New Roman" w:cs="Times New Roman"/>
          <w:shd w:val="clear" w:color="auto" w:fill="FFFFFF"/>
        </w:rPr>
        <w:footnoteReference w:id="27"/>
      </w:r>
      <w:r w:rsidRPr="000F007C">
        <w:rPr>
          <w:rFonts w:ascii="Times New Roman" w:eastAsia="Times New Roman" w:hAnsi="Times New Roman" w:cs="Times New Roman"/>
          <w:shd w:val="clear" w:color="auto" w:fill="FFFFFF"/>
        </w:rPr>
        <w:t xml:space="preserve"> and allow</w:t>
      </w:r>
      <w:r w:rsidR="00B66A6F">
        <w:rPr>
          <w:rFonts w:ascii="Times New Roman" w:eastAsia="Times New Roman" w:hAnsi="Times New Roman" w:cs="Times New Roman"/>
          <w:shd w:val="clear" w:color="auto" w:fill="FFFFFF"/>
        </w:rPr>
        <w:t>ed</w:t>
      </w:r>
      <w:r w:rsidRPr="000F007C">
        <w:rPr>
          <w:rFonts w:ascii="Times New Roman" w:eastAsia="Times New Roman" w:hAnsi="Times New Roman" w:cs="Times New Roman"/>
          <w:shd w:val="clear" w:color="auto" w:fill="FFFFFF"/>
        </w:rPr>
        <w:t xml:space="preserve"> insurers to reject applicants who lost minimum essential coverage because they failed to m</w:t>
      </w:r>
      <w:r w:rsidR="00B66A6F">
        <w:rPr>
          <w:rFonts w:ascii="Times New Roman" w:eastAsia="Times New Roman" w:hAnsi="Times New Roman" w:cs="Times New Roman"/>
          <w:shd w:val="clear" w:color="auto" w:fill="FFFFFF"/>
        </w:rPr>
        <w:t>ake premium payments unless the applicants</w:t>
      </w:r>
      <w:r w:rsidRPr="000F007C">
        <w:rPr>
          <w:rFonts w:ascii="Times New Roman" w:eastAsia="Times New Roman" w:hAnsi="Times New Roman" w:cs="Times New Roman"/>
          <w:shd w:val="clear" w:color="auto" w:fill="FFFFFF"/>
        </w:rPr>
        <w:t xml:space="preserve"> also pay the past-due premiums.</w:t>
      </w:r>
      <w:r w:rsidRPr="000F007C">
        <w:rPr>
          <w:rStyle w:val="FootnoteReference"/>
          <w:rFonts w:ascii="Times New Roman" w:eastAsia="Times New Roman" w:hAnsi="Times New Roman" w:cs="Times New Roman"/>
          <w:shd w:val="clear" w:color="auto" w:fill="FFFFFF"/>
        </w:rPr>
        <w:footnoteReference w:id="28"/>
      </w:r>
      <w:r w:rsidRPr="000F007C">
        <w:rPr>
          <w:rFonts w:ascii="Times New Roman" w:eastAsia="Times New Roman" w:hAnsi="Times New Roman" w:cs="Times New Roman"/>
          <w:shd w:val="clear" w:color="auto" w:fill="FFFFFF"/>
        </w:rPr>
        <w:t xml:space="preserve">  </w:t>
      </w:r>
      <w:r w:rsidR="00B66A6F">
        <w:rPr>
          <w:rFonts w:ascii="Times New Roman" w:eastAsia="Times New Roman" w:hAnsi="Times New Roman" w:cs="Times New Roman"/>
          <w:shd w:val="clear" w:color="auto" w:fill="FFFFFF"/>
        </w:rPr>
        <w:t>HHS also adopted a</w:t>
      </w:r>
      <w:r w:rsidRPr="000F007C">
        <w:rPr>
          <w:rFonts w:ascii="Times New Roman" w:eastAsia="Times New Roman" w:hAnsi="Times New Roman" w:cs="Times New Roman"/>
          <w:shd w:val="clear" w:color="auto" w:fill="FFFFFF"/>
        </w:rPr>
        <w:t xml:space="preserve"> number of other new restrictions.</w:t>
      </w:r>
      <w:r w:rsidRPr="000F007C">
        <w:rPr>
          <w:rStyle w:val="FootnoteReference"/>
          <w:rFonts w:ascii="Times New Roman" w:eastAsia="Times New Roman" w:hAnsi="Times New Roman" w:cs="Times New Roman"/>
          <w:shd w:val="clear" w:color="auto" w:fill="FFFFFF"/>
        </w:rPr>
        <w:footnoteReference w:id="29"/>
      </w:r>
      <w:r w:rsidRPr="000F007C">
        <w:rPr>
          <w:rFonts w:ascii="Times New Roman" w:eastAsia="Times New Roman" w:hAnsi="Times New Roman" w:cs="Times New Roman"/>
          <w:shd w:val="clear" w:color="auto" w:fill="FFFFFF"/>
        </w:rPr>
        <w:t xml:space="preserve">  HHS’s Office of the Actuary estimated that these changes would reduce premiums by 1.5%.</w:t>
      </w:r>
      <w:r w:rsidRPr="000F007C">
        <w:rPr>
          <w:rStyle w:val="FootnoteReference"/>
          <w:rFonts w:ascii="Times New Roman" w:eastAsia="Times New Roman" w:hAnsi="Times New Roman" w:cs="Times New Roman"/>
          <w:shd w:val="clear" w:color="auto" w:fill="FFFFFF"/>
        </w:rPr>
        <w:footnoteReference w:id="30"/>
      </w:r>
    </w:p>
    <w:p w14:paraId="39DE77D7" w14:textId="6F3CDA1F" w:rsidR="00C82FE6" w:rsidRPr="000F007C" w:rsidRDefault="00C82FE6" w:rsidP="00C82FE6">
      <w:pPr>
        <w:suppressAutoHyphens/>
        <w:spacing w:line="480" w:lineRule="auto"/>
        <w:ind w:firstLine="720"/>
        <w:rPr>
          <w:rFonts w:ascii="Times New Roman" w:eastAsia="Times New Roman" w:hAnsi="Times New Roman" w:cs="Times New Roman"/>
          <w:shd w:val="clear" w:color="auto" w:fill="FFFFFF"/>
        </w:rPr>
      </w:pPr>
      <w:r w:rsidRPr="000F007C">
        <w:rPr>
          <w:rFonts w:ascii="Times New Roman" w:eastAsia="Times New Roman" w:hAnsi="Times New Roman" w:cs="Times New Roman"/>
          <w:shd w:val="clear" w:color="auto" w:fill="FFFFFF"/>
        </w:rPr>
        <w:t>Unsurprisingly, i</w:t>
      </w:r>
      <w:r>
        <w:rPr>
          <w:rFonts w:ascii="Times New Roman" w:eastAsia="Times New Roman" w:hAnsi="Times New Roman" w:cs="Times New Roman"/>
          <w:shd w:val="clear" w:color="auto" w:fill="FFFFFF"/>
        </w:rPr>
        <w:t>ssuers</w:t>
      </w:r>
      <w:r w:rsidRPr="000F007C">
        <w:rPr>
          <w:rFonts w:ascii="Times New Roman" w:eastAsia="Times New Roman" w:hAnsi="Times New Roman" w:cs="Times New Roman"/>
          <w:shd w:val="clear" w:color="auto" w:fill="FFFFFF"/>
        </w:rPr>
        <w:t xml:space="preserve"> strongly supported the new restrictions on special enrollment periods.</w:t>
      </w:r>
      <w:r w:rsidRPr="000F007C">
        <w:rPr>
          <w:rStyle w:val="FootnoteReference"/>
          <w:rFonts w:ascii="Times New Roman" w:eastAsia="Times New Roman" w:hAnsi="Times New Roman" w:cs="Times New Roman"/>
          <w:shd w:val="clear" w:color="auto" w:fill="FFFFFF"/>
        </w:rPr>
        <w:footnoteReference w:id="31"/>
      </w:r>
      <w:r w:rsidRPr="000F007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I</w:t>
      </w:r>
      <w:r w:rsidRPr="000F007C">
        <w:rPr>
          <w:rFonts w:ascii="Times New Roman" w:eastAsia="Times New Roman" w:hAnsi="Times New Roman" w:cs="Times New Roman"/>
          <w:shd w:val="clear" w:color="auto" w:fill="FFFFFF"/>
        </w:rPr>
        <w:t>n encouraging HHS to adopt these changes, Anthem expressed its concern “that the ability to utilize SEPs inappropriately [] is driving up premiums and placing the market on an unsustainable path.”</w:t>
      </w:r>
      <w:r w:rsidRPr="000F007C">
        <w:rPr>
          <w:rStyle w:val="FootnoteReference"/>
          <w:rFonts w:ascii="Times New Roman" w:eastAsia="Times New Roman" w:hAnsi="Times New Roman" w:cs="Times New Roman"/>
          <w:shd w:val="clear" w:color="auto" w:fill="FFFFFF"/>
        </w:rPr>
        <w:footnoteReference w:id="32"/>
      </w:r>
      <w:r w:rsidRPr="000F007C">
        <w:rPr>
          <w:rFonts w:ascii="Times New Roman" w:eastAsia="Times New Roman" w:hAnsi="Times New Roman" w:cs="Times New Roman"/>
          <w:shd w:val="clear" w:color="auto" w:fill="FFFFFF"/>
        </w:rPr>
        <w:t xml:space="preserve">  Similarly, </w:t>
      </w:r>
      <w:r w:rsidR="00A362BF">
        <w:rPr>
          <w:rFonts w:ascii="Times New Roman" w:eastAsia="Times New Roman" w:hAnsi="Times New Roman" w:cs="Times New Roman"/>
          <w:shd w:val="clear" w:color="auto" w:fill="FFFFFF"/>
        </w:rPr>
        <w:t>Cigna</w:t>
      </w:r>
      <w:r w:rsidRPr="000F007C">
        <w:rPr>
          <w:rFonts w:ascii="Times New Roman" w:eastAsia="Times New Roman" w:hAnsi="Times New Roman" w:cs="Times New Roman"/>
          <w:shd w:val="clear" w:color="auto" w:fill="FFFFFF"/>
        </w:rPr>
        <w:t xml:space="preserve"> noted that the changes “will aid in improving the risk pool and market stability and encourage continuous coverage.”</w:t>
      </w:r>
      <w:r w:rsidRPr="000F007C">
        <w:rPr>
          <w:rStyle w:val="FootnoteReference"/>
          <w:rFonts w:ascii="Times New Roman" w:eastAsia="Times New Roman" w:hAnsi="Times New Roman" w:cs="Times New Roman"/>
          <w:shd w:val="clear" w:color="auto" w:fill="FFFFFF"/>
        </w:rPr>
        <w:footnoteReference w:id="33"/>
      </w:r>
      <w:r w:rsidRPr="000F007C">
        <w:rPr>
          <w:rFonts w:ascii="Times New Roman" w:eastAsia="Times New Roman" w:hAnsi="Times New Roman" w:cs="Times New Roman"/>
          <w:shd w:val="clear" w:color="auto" w:fill="FFFFFF"/>
        </w:rPr>
        <w:t xml:space="preserve">  It later reiterated that “[t]he goal of verifying the eligibility for a special enrollment period is based on preventing adverse selection.”</w:t>
      </w:r>
      <w:r w:rsidRPr="000F007C">
        <w:rPr>
          <w:rStyle w:val="FootnoteReference"/>
          <w:rFonts w:ascii="Times New Roman" w:eastAsia="Times New Roman" w:hAnsi="Times New Roman" w:cs="Times New Roman"/>
          <w:shd w:val="clear" w:color="auto" w:fill="FFFFFF"/>
        </w:rPr>
        <w:footnoteReference w:id="34"/>
      </w:r>
      <w:r w:rsidRPr="000F007C">
        <w:rPr>
          <w:rFonts w:ascii="Times New Roman" w:eastAsia="Times New Roman" w:hAnsi="Times New Roman" w:cs="Times New Roman"/>
          <w:shd w:val="clear" w:color="auto" w:fill="FFFFFF"/>
        </w:rPr>
        <w:t xml:space="preserve">  The BlueCross BlueShield Association likewise pointed to the higher claims costs of consumers who rely on special enrollment periods in voicing support for the changes.</w:t>
      </w:r>
      <w:r w:rsidRPr="000F007C">
        <w:rPr>
          <w:rStyle w:val="FootnoteReference"/>
          <w:rFonts w:ascii="Times New Roman" w:eastAsia="Times New Roman" w:hAnsi="Times New Roman" w:cs="Times New Roman"/>
          <w:shd w:val="clear" w:color="auto" w:fill="FFFFFF"/>
        </w:rPr>
        <w:footnoteReference w:id="35"/>
      </w:r>
      <w:r w:rsidRPr="000F007C">
        <w:rPr>
          <w:rFonts w:ascii="Times New Roman" w:eastAsia="Times New Roman" w:hAnsi="Times New Roman" w:cs="Times New Roman"/>
          <w:shd w:val="clear" w:color="auto" w:fill="FFFFFF"/>
        </w:rPr>
        <w:t xml:space="preserve"> </w:t>
      </w:r>
    </w:p>
    <w:p w14:paraId="40A6C3DA" w14:textId="6C3AC4D7" w:rsidR="00FE3D2C" w:rsidRPr="005865E3" w:rsidRDefault="00323FCE" w:rsidP="005865E3">
      <w:pPr>
        <w:suppressAutoHyphens/>
        <w:spacing w:line="480" w:lineRule="auto"/>
        <w:ind w:firstLine="720"/>
        <w:rPr>
          <w:rFonts w:ascii="Times New Roman" w:eastAsia="Times New Roman" w:hAnsi="Times New Roman" w:cs="Times New Roman"/>
          <w:shd w:val="clear" w:color="auto" w:fill="FFFFFF"/>
        </w:rPr>
      </w:pPr>
      <w:r w:rsidRPr="00371B92">
        <w:rPr>
          <w:rFonts w:ascii="Times New Roman" w:eastAsia="Times New Roman" w:hAnsi="Times New Roman" w:cs="Times New Roman"/>
        </w:rPr>
        <w:t>Although these change</w:t>
      </w:r>
      <w:r w:rsidR="00C82FE6">
        <w:rPr>
          <w:rFonts w:ascii="Times New Roman" w:eastAsia="Times New Roman" w:hAnsi="Times New Roman" w:cs="Times New Roman"/>
        </w:rPr>
        <w:t>s</w:t>
      </w:r>
      <w:r w:rsidRPr="00371B92">
        <w:rPr>
          <w:rFonts w:ascii="Times New Roman" w:eastAsia="Times New Roman" w:hAnsi="Times New Roman" w:cs="Times New Roman"/>
        </w:rPr>
        <w:t xml:space="preserve"> w</w:t>
      </w:r>
      <w:r w:rsidR="005552FC" w:rsidRPr="00371B92">
        <w:rPr>
          <w:rFonts w:ascii="Times New Roman" w:eastAsia="Times New Roman" w:hAnsi="Times New Roman" w:cs="Times New Roman"/>
        </w:rPr>
        <w:t>ere highly suppo</w:t>
      </w:r>
      <w:r w:rsidR="006C0BD8">
        <w:rPr>
          <w:rFonts w:ascii="Times New Roman" w:eastAsia="Times New Roman" w:hAnsi="Times New Roman" w:cs="Times New Roman"/>
        </w:rPr>
        <w:t>rted by Anthem and others, HAL did not specify</w:t>
      </w:r>
      <w:r w:rsidR="005552FC" w:rsidRPr="00371B92">
        <w:rPr>
          <w:rFonts w:ascii="Times New Roman" w:eastAsia="Times New Roman" w:hAnsi="Times New Roman" w:cs="Times New Roman"/>
        </w:rPr>
        <w:t xml:space="preserve"> </w:t>
      </w:r>
      <w:r w:rsidR="00F979DA">
        <w:rPr>
          <w:rFonts w:ascii="Times New Roman" w:eastAsia="Times New Roman" w:hAnsi="Times New Roman" w:cs="Times New Roman"/>
        </w:rPr>
        <w:t xml:space="preserve">whether it </w:t>
      </w:r>
      <w:r w:rsidR="006C0BD8">
        <w:rPr>
          <w:rFonts w:ascii="Times New Roman" w:eastAsia="Times New Roman" w:hAnsi="Times New Roman" w:cs="Times New Roman"/>
        </w:rPr>
        <w:t>considered</w:t>
      </w:r>
      <w:r w:rsidR="00F979DA">
        <w:rPr>
          <w:rFonts w:ascii="Times New Roman" w:eastAsia="Times New Roman" w:hAnsi="Times New Roman" w:cs="Times New Roman"/>
        </w:rPr>
        <w:t xml:space="preserve"> t</w:t>
      </w:r>
      <w:r w:rsidR="007F16C7" w:rsidRPr="000F007C">
        <w:rPr>
          <w:rFonts w:ascii="Times New Roman" w:eastAsia="Times New Roman" w:hAnsi="Times New Roman" w:cs="Times New Roman"/>
        </w:rPr>
        <w:t>hese changes in calculating its rates for 2018</w:t>
      </w:r>
      <w:r w:rsidR="005552FC" w:rsidRPr="00371B92">
        <w:rPr>
          <w:rFonts w:ascii="Times New Roman" w:eastAsia="Times New Roman" w:hAnsi="Times New Roman" w:cs="Times New Roman"/>
        </w:rPr>
        <w:t>.</w:t>
      </w:r>
      <w:r w:rsidR="00F979DA">
        <w:rPr>
          <w:rFonts w:ascii="Times New Roman" w:eastAsia="Times New Roman" w:hAnsi="Times New Roman" w:cs="Times New Roman"/>
        </w:rPr>
        <w:t xml:space="preserve"> </w:t>
      </w:r>
      <w:r w:rsidR="00E067EE" w:rsidRPr="00371B92">
        <w:rPr>
          <w:rFonts w:ascii="Times New Roman" w:eastAsia="Times New Roman" w:hAnsi="Times New Roman" w:cs="Times New Roman"/>
        </w:rPr>
        <w:t xml:space="preserve"> </w:t>
      </w:r>
      <w:r w:rsidR="00F979DA">
        <w:rPr>
          <w:rFonts w:ascii="Times New Roman" w:eastAsia="Times New Roman" w:hAnsi="Times New Roman" w:cs="Times New Roman"/>
        </w:rPr>
        <w:t>Because t</w:t>
      </w:r>
      <w:r w:rsidR="00F979DA" w:rsidRPr="00371B92">
        <w:rPr>
          <w:rFonts w:ascii="Times New Roman" w:eastAsia="Times New Roman" w:hAnsi="Times New Roman" w:cs="Times New Roman"/>
        </w:rPr>
        <w:t>he restriction</w:t>
      </w:r>
      <w:r w:rsidR="00F979DA">
        <w:rPr>
          <w:rFonts w:ascii="Times New Roman" w:eastAsia="Times New Roman" w:hAnsi="Times New Roman" w:cs="Times New Roman"/>
        </w:rPr>
        <w:t>s</w:t>
      </w:r>
      <w:r w:rsidR="00F979DA" w:rsidRPr="00371B92">
        <w:rPr>
          <w:rFonts w:ascii="Times New Roman" w:eastAsia="Times New Roman" w:hAnsi="Times New Roman" w:cs="Times New Roman"/>
        </w:rPr>
        <w:t xml:space="preserve"> </w:t>
      </w:r>
      <w:r w:rsidR="00F979DA">
        <w:rPr>
          <w:rFonts w:ascii="Times New Roman" w:eastAsia="Times New Roman" w:hAnsi="Times New Roman" w:cs="Times New Roman"/>
        </w:rPr>
        <w:t>on special enrollment periods</w:t>
      </w:r>
      <w:r w:rsidR="00F979DA" w:rsidRPr="00371B92">
        <w:rPr>
          <w:rFonts w:ascii="Times New Roman" w:eastAsia="Times New Roman" w:hAnsi="Times New Roman" w:cs="Times New Roman"/>
        </w:rPr>
        <w:t xml:space="preserve"> will make it far more difficult for individuals to game the system </w:t>
      </w:r>
      <w:r w:rsidR="005865E3" w:rsidRPr="000F007C">
        <w:rPr>
          <w:rFonts w:ascii="Times New Roman" w:eastAsia="Times New Roman" w:hAnsi="Times New Roman" w:cs="Times New Roman"/>
        </w:rPr>
        <w:t xml:space="preserve">by waiting </w:t>
      </w:r>
      <w:r w:rsidR="005865E3">
        <w:rPr>
          <w:rFonts w:ascii="Times New Roman" w:eastAsia="Times New Roman" w:hAnsi="Times New Roman" w:cs="Times New Roman"/>
        </w:rPr>
        <w:t>until</w:t>
      </w:r>
      <w:r w:rsidR="005865E3" w:rsidRPr="000F007C">
        <w:rPr>
          <w:rFonts w:ascii="Times New Roman" w:eastAsia="Times New Roman" w:hAnsi="Times New Roman" w:cs="Times New Roman"/>
        </w:rPr>
        <w:t xml:space="preserve"> they get sick to purchase coverage, rather than during open enrollment,</w:t>
      </w:r>
      <w:r w:rsidR="00F979DA">
        <w:rPr>
          <w:rFonts w:ascii="Times New Roman" w:eastAsia="Times New Roman" w:hAnsi="Times New Roman" w:cs="Times New Roman"/>
        </w:rPr>
        <w:t xml:space="preserve"> </w:t>
      </w:r>
      <w:r w:rsidR="00E067EE" w:rsidRPr="00371B92">
        <w:rPr>
          <w:rFonts w:ascii="Times New Roman" w:eastAsia="Times New Roman" w:hAnsi="Times New Roman" w:cs="Times New Roman"/>
        </w:rPr>
        <w:t xml:space="preserve">HAL’s </w:t>
      </w:r>
      <w:r w:rsidR="005865E3">
        <w:rPr>
          <w:rFonts w:ascii="Times New Roman" w:eastAsia="Times New Roman" w:hAnsi="Times New Roman" w:cs="Times New Roman"/>
        </w:rPr>
        <w:t>claim</w:t>
      </w:r>
      <w:r w:rsidR="00E067EE" w:rsidRPr="00371B92">
        <w:rPr>
          <w:rFonts w:ascii="Times New Roman" w:eastAsia="Times New Roman" w:hAnsi="Times New Roman" w:cs="Times New Roman"/>
        </w:rPr>
        <w:t xml:space="preserve"> that the market will be more volatile due to individuals selectively lapsing cover in 2018</w:t>
      </w:r>
      <w:r w:rsidR="005865E3">
        <w:rPr>
          <w:rFonts w:ascii="Times New Roman" w:eastAsia="Times New Roman" w:hAnsi="Times New Roman" w:cs="Times New Roman"/>
        </w:rPr>
        <w:t xml:space="preserve"> warrants skepticism</w:t>
      </w:r>
      <w:r w:rsidR="00E067EE" w:rsidRPr="00371B92">
        <w:rPr>
          <w:rFonts w:ascii="Times New Roman" w:eastAsia="Times New Roman" w:hAnsi="Times New Roman" w:cs="Times New Roman"/>
        </w:rPr>
        <w:t xml:space="preserve">. </w:t>
      </w:r>
      <w:r w:rsidR="00F979DA">
        <w:rPr>
          <w:rFonts w:ascii="Times New Roman" w:eastAsia="Times New Roman" w:hAnsi="Times New Roman" w:cs="Times New Roman"/>
        </w:rPr>
        <w:t xml:space="preserve"> </w:t>
      </w:r>
      <w:r w:rsidR="00F979DA">
        <w:rPr>
          <w:rFonts w:ascii="Times New Roman" w:hAnsi="Times New Roman" w:cs="Times New Roman"/>
        </w:rPr>
        <w:t xml:space="preserve">Absent further clarification from </w:t>
      </w:r>
      <w:r w:rsidR="001C5DE2">
        <w:rPr>
          <w:rFonts w:ascii="Times New Roman" w:hAnsi="Times New Roman" w:cs="Times New Roman"/>
        </w:rPr>
        <w:t>HAL</w:t>
      </w:r>
      <w:r w:rsidR="00F979DA">
        <w:rPr>
          <w:rFonts w:ascii="Times New Roman" w:hAnsi="Times New Roman" w:cs="Times New Roman"/>
        </w:rPr>
        <w:t xml:space="preserve"> reconciling its </w:t>
      </w:r>
      <w:r w:rsidR="005865E3">
        <w:rPr>
          <w:rFonts w:ascii="Times New Roman" w:hAnsi="Times New Roman" w:cs="Times New Roman"/>
        </w:rPr>
        <w:t xml:space="preserve">unsupported </w:t>
      </w:r>
      <w:r w:rsidR="00F979DA">
        <w:rPr>
          <w:rFonts w:ascii="Times New Roman" w:hAnsi="Times New Roman" w:cs="Times New Roman"/>
        </w:rPr>
        <w:t xml:space="preserve">assumptions with these </w:t>
      </w:r>
      <w:r w:rsidR="005865E3">
        <w:rPr>
          <w:rFonts w:ascii="Times New Roman" w:hAnsi="Times New Roman" w:cs="Times New Roman"/>
        </w:rPr>
        <w:t xml:space="preserve">established </w:t>
      </w:r>
      <w:r w:rsidR="00F979DA">
        <w:rPr>
          <w:rFonts w:ascii="Times New Roman" w:hAnsi="Times New Roman" w:cs="Times New Roman"/>
        </w:rPr>
        <w:t>changes</w:t>
      </w:r>
      <w:r w:rsidR="00F979DA">
        <w:rPr>
          <w:rFonts w:ascii="Times New Roman" w:eastAsia="Times New Roman" w:hAnsi="Times New Roman" w:cs="Times New Roman"/>
          <w:shd w:val="clear" w:color="auto" w:fill="FFFFFF"/>
        </w:rPr>
        <w:t xml:space="preserve">, the Department should deem </w:t>
      </w:r>
      <w:r w:rsidR="005865E3">
        <w:rPr>
          <w:rFonts w:ascii="Times New Roman" w:eastAsia="Times New Roman" w:hAnsi="Times New Roman" w:cs="Times New Roman"/>
          <w:shd w:val="clear" w:color="auto" w:fill="FFFFFF"/>
        </w:rPr>
        <w:t>HAL’</w:t>
      </w:r>
      <w:r w:rsidR="00F979DA">
        <w:rPr>
          <w:rFonts w:ascii="Times New Roman" w:eastAsia="Times New Roman" w:hAnsi="Times New Roman" w:cs="Times New Roman"/>
          <w:shd w:val="clear" w:color="auto" w:fill="FFFFFF"/>
        </w:rPr>
        <w:t>s proposed rate increases unjustified and thus unreasonable.</w:t>
      </w:r>
    </w:p>
    <w:p w14:paraId="2F6AC3B0" w14:textId="3C156F0E" w:rsidR="00FE3D2C" w:rsidRPr="005865E3" w:rsidRDefault="00FE3D2C" w:rsidP="005865E3">
      <w:pPr>
        <w:pStyle w:val="ListParagraph"/>
        <w:numPr>
          <w:ilvl w:val="0"/>
          <w:numId w:val="2"/>
        </w:numPr>
        <w:spacing w:line="480" w:lineRule="auto"/>
        <w:rPr>
          <w:rFonts w:ascii="Times New Roman" w:hAnsi="Times New Roman" w:cs="Times New Roman"/>
          <w:u w:val="single"/>
        </w:rPr>
      </w:pPr>
      <w:r w:rsidRPr="005865E3">
        <w:rPr>
          <w:rFonts w:ascii="Times New Roman" w:hAnsi="Times New Roman" w:cs="Times New Roman"/>
          <w:u w:val="single"/>
        </w:rPr>
        <w:lastRenderedPageBreak/>
        <w:t>Levels of Coverage (Actuarial Value) (45 C.F.R. § 156.140(c))</w:t>
      </w:r>
    </w:p>
    <w:p w14:paraId="2DE205C3" w14:textId="21580E79" w:rsidR="00FE3D2C" w:rsidRPr="000F007C" w:rsidRDefault="00237AC4" w:rsidP="005865E3">
      <w:pPr>
        <w:suppressAutoHyphens/>
        <w:spacing w:line="480" w:lineRule="auto"/>
        <w:ind w:firstLine="720"/>
        <w:rPr>
          <w:rFonts w:ascii="Times New Roman" w:hAnsi="Times New Roman" w:cs="Times New Roman"/>
        </w:rPr>
      </w:pPr>
      <w:r w:rsidRPr="000F007C">
        <w:rPr>
          <w:rFonts w:ascii="Times New Roman" w:eastAsia="Times New Roman" w:hAnsi="Times New Roman" w:cs="Times New Roman"/>
        </w:rPr>
        <w:t>Under the Affordable Care Act, issuers of non-grandfathered individual and small group health insurance plans must ensure that the plans adhere to certain levels of coverage, defined by the plan’s actuarial value.</w:t>
      </w:r>
      <w:r w:rsidRPr="000F007C">
        <w:rPr>
          <w:rStyle w:val="FootnoteReference"/>
          <w:rFonts w:ascii="Times New Roman" w:eastAsia="Times New Roman" w:hAnsi="Times New Roman" w:cs="Times New Roman"/>
        </w:rPr>
        <w:footnoteReference w:id="36"/>
      </w:r>
      <w:r w:rsidRPr="000F007C">
        <w:rPr>
          <w:rFonts w:ascii="Times New Roman" w:eastAsia="Times New Roman" w:hAnsi="Times New Roman" w:cs="Times New Roman"/>
        </w:rPr>
        <w:t xml:space="preserve">  </w:t>
      </w:r>
      <w:r w:rsidR="00FE3D2C" w:rsidRPr="000F007C">
        <w:rPr>
          <w:rFonts w:ascii="Times New Roman" w:eastAsia="Times New Roman" w:hAnsi="Times New Roman" w:cs="Times New Roman"/>
        </w:rPr>
        <w:t>A bronze plan is required to have an actuarial value of 60%, a silver plan is to have an actuarial value</w:t>
      </w:r>
      <w:r w:rsidR="00FE3D2C" w:rsidRPr="000F007C" w:rsidDel="00594B1B">
        <w:rPr>
          <w:rFonts w:ascii="Times New Roman" w:eastAsia="Times New Roman" w:hAnsi="Times New Roman" w:cs="Times New Roman"/>
        </w:rPr>
        <w:t xml:space="preserve"> </w:t>
      </w:r>
      <w:r w:rsidR="00FE3D2C" w:rsidRPr="000F007C">
        <w:rPr>
          <w:rFonts w:ascii="Times New Roman" w:eastAsia="Times New Roman" w:hAnsi="Times New Roman" w:cs="Times New Roman"/>
        </w:rPr>
        <w:t>of 70%, a gold plan is to have an actuarial value</w:t>
      </w:r>
      <w:r w:rsidR="00FE3D2C" w:rsidRPr="000F007C" w:rsidDel="00594B1B">
        <w:rPr>
          <w:rFonts w:ascii="Times New Roman" w:eastAsia="Times New Roman" w:hAnsi="Times New Roman" w:cs="Times New Roman"/>
        </w:rPr>
        <w:t xml:space="preserve"> </w:t>
      </w:r>
      <w:r w:rsidR="00FE3D2C" w:rsidRPr="000F007C">
        <w:rPr>
          <w:rFonts w:ascii="Times New Roman" w:eastAsia="Times New Roman" w:hAnsi="Times New Roman" w:cs="Times New Roman"/>
        </w:rPr>
        <w:t>of 80%, and a platinum plan is to have an actuarial value</w:t>
      </w:r>
      <w:r w:rsidR="00FE3D2C" w:rsidRPr="000F007C" w:rsidDel="00594B1B">
        <w:rPr>
          <w:rFonts w:ascii="Times New Roman" w:eastAsia="Times New Roman" w:hAnsi="Times New Roman" w:cs="Times New Roman"/>
        </w:rPr>
        <w:t xml:space="preserve"> </w:t>
      </w:r>
      <w:r w:rsidR="00FE3D2C" w:rsidRPr="000F007C">
        <w:rPr>
          <w:rFonts w:ascii="Times New Roman" w:eastAsia="Times New Roman" w:hAnsi="Times New Roman" w:cs="Times New Roman"/>
        </w:rPr>
        <w:t>of 90%.</w:t>
      </w:r>
      <w:r w:rsidR="00FE3D2C" w:rsidRPr="000F007C">
        <w:rPr>
          <w:rStyle w:val="FootnoteReference"/>
          <w:rFonts w:ascii="Times New Roman" w:eastAsia="Times New Roman" w:hAnsi="Times New Roman" w:cs="Times New Roman"/>
        </w:rPr>
        <w:footnoteReference w:id="37"/>
      </w:r>
      <w:r>
        <w:rPr>
          <w:rFonts w:ascii="Times New Roman" w:eastAsia="Times New Roman" w:hAnsi="Times New Roman" w:cs="Times New Roman"/>
        </w:rPr>
        <w:t xml:space="preserve"> </w:t>
      </w:r>
      <w:r w:rsidR="00FE3D2C" w:rsidRPr="000F007C">
        <w:rPr>
          <w:rFonts w:ascii="Times New Roman" w:eastAsia="Times New Roman" w:hAnsi="Times New Roman" w:cs="Times New Roman"/>
        </w:rPr>
        <w:t xml:space="preserve"> To ensure that issuers meet these benchmarks, HHS created an actuarial value calculator that estimates a plan’s average spending by a wide range of consumers in a standard population.</w:t>
      </w:r>
      <w:r w:rsidR="00FE3D2C" w:rsidRPr="000F007C">
        <w:rPr>
          <w:rStyle w:val="FootnoteReference"/>
          <w:rFonts w:ascii="Times New Roman" w:eastAsia="Times New Roman" w:hAnsi="Times New Roman" w:cs="Times New Roman"/>
        </w:rPr>
        <w:footnoteReference w:id="38"/>
      </w:r>
      <w:r w:rsidR="00FE3D2C" w:rsidRPr="000F007C">
        <w:rPr>
          <w:rFonts w:ascii="Times New Roman" w:eastAsia="Times New Roman" w:hAnsi="Times New Roman" w:cs="Times New Roman"/>
        </w:rPr>
        <w:t xml:space="preserve">  Because the calculator’s results are necessarily approximations, HHS has allowed </w:t>
      </w:r>
      <w:r w:rsidR="00FE3D2C" w:rsidRPr="000F007C">
        <w:rPr>
          <w:rFonts w:ascii="Times New Roman" w:eastAsia="Times New Roman" w:hAnsi="Times New Roman" w:cs="Times New Roman"/>
          <w:i/>
        </w:rPr>
        <w:t xml:space="preserve">de </w:t>
      </w:r>
      <w:proofErr w:type="spellStart"/>
      <w:r w:rsidR="00FE3D2C" w:rsidRPr="000F007C">
        <w:rPr>
          <w:rFonts w:ascii="Times New Roman" w:eastAsia="Times New Roman" w:hAnsi="Times New Roman" w:cs="Times New Roman"/>
          <w:i/>
        </w:rPr>
        <w:t>minimis</w:t>
      </w:r>
      <w:proofErr w:type="spellEnd"/>
      <w:r w:rsidR="00FE3D2C" w:rsidRPr="000F007C">
        <w:rPr>
          <w:rFonts w:ascii="Times New Roman" w:eastAsia="Times New Roman" w:hAnsi="Times New Roman" w:cs="Times New Roman"/>
        </w:rPr>
        <w:t xml:space="preserve"> variation of +/ – 2 percentage points in the actuarial valuations used to determine a plan’s level of coverage.</w:t>
      </w:r>
      <w:r w:rsidR="00FE3D2C" w:rsidRPr="000F007C">
        <w:rPr>
          <w:rStyle w:val="FootnoteReference"/>
          <w:rFonts w:ascii="Times New Roman" w:eastAsia="Times New Roman" w:hAnsi="Times New Roman" w:cs="Times New Roman"/>
        </w:rPr>
        <w:footnoteReference w:id="39"/>
      </w:r>
      <w:r w:rsidR="00FE3D2C" w:rsidRPr="000F007C">
        <w:rPr>
          <w:rFonts w:ascii="Times New Roman" w:eastAsia="Times New Roman" w:hAnsi="Times New Roman" w:cs="Times New Roman"/>
        </w:rPr>
        <w:t xml:space="preserve">  Under the Market Stabilization Rule, HHS adopted a new </w:t>
      </w:r>
      <w:r w:rsidR="00FE3D2C" w:rsidRPr="000F007C">
        <w:rPr>
          <w:rFonts w:ascii="Times New Roman" w:eastAsia="Times New Roman" w:hAnsi="Times New Roman" w:cs="Times New Roman"/>
          <w:i/>
        </w:rPr>
        <w:t xml:space="preserve">de </w:t>
      </w:r>
      <w:proofErr w:type="spellStart"/>
      <w:r w:rsidR="00FE3D2C" w:rsidRPr="000F007C">
        <w:rPr>
          <w:rFonts w:ascii="Times New Roman" w:eastAsia="Times New Roman" w:hAnsi="Times New Roman" w:cs="Times New Roman"/>
          <w:i/>
        </w:rPr>
        <w:t>minimis</w:t>
      </w:r>
      <w:proofErr w:type="spellEnd"/>
      <w:r w:rsidR="00FE3D2C" w:rsidRPr="000F007C">
        <w:rPr>
          <w:rFonts w:ascii="Times New Roman" w:eastAsia="Times New Roman" w:hAnsi="Times New Roman" w:cs="Times New Roman"/>
        </w:rPr>
        <w:t xml:space="preserve"> range of – 4/+2 for the 2018 plan year.</w:t>
      </w:r>
      <w:r w:rsidR="00FE3D2C" w:rsidRPr="000F007C">
        <w:rPr>
          <w:rStyle w:val="FootnoteReference"/>
          <w:rFonts w:ascii="Times New Roman" w:eastAsia="Times New Roman" w:hAnsi="Times New Roman" w:cs="Times New Roman"/>
        </w:rPr>
        <w:footnoteReference w:id="40"/>
      </w:r>
      <w:r w:rsidR="00FE3D2C" w:rsidRPr="000F007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E3D2C" w:rsidRPr="000F007C">
        <w:rPr>
          <w:rFonts w:ascii="Times New Roman" w:eastAsia="Times New Roman" w:hAnsi="Times New Roman" w:cs="Times New Roman"/>
        </w:rPr>
        <w:t xml:space="preserve">Thus, for example, a silver plan could have an actuarial value anywhere between 66 and 72%. </w:t>
      </w:r>
      <w:r>
        <w:rPr>
          <w:rFonts w:ascii="Times New Roman" w:eastAsia="Times New Roman" w:hAnsi="Times New Roman" w:cs="Times New Roman"/>
        </w:rPr>
        <w:t xml:space="preserve"> </w:t>
      </w:r>
      <w:r w:rsidR="00FE3D2C" w:rsidRPr="000F007C">
        <w:rPr>
          <w:rFonts w:ascii="Times New Roman" w:eastAsia="Times New Roman" w:hAnsi="Times New Roman" w:cs="Times New Roman"/>
        </w:rPr>
        <w:t xml:space="preserve">According to HHS, this expanded </w:t>
      </w:r>
      <w:r w:rsidR="00FE3D2C" w:rsidRPr="000F007C">
        <w:rPr>
          <w:rFonts w:ascii="Times New Roman" w:eastAsia="Times New Roman" w:hAnsi="Times New Roman" w:cs="Times New Roman"/>
          <w:i/>
        </w:rPr>
        <w:t xml:space="preserve">de </w:t>
      </w:r>
      <w:proofErr w:type="spellStart"/>
      <w:r w:rsidR="00FE3D2C" w:rsidRPr="000F007C">
        <w:rPr>
          <w:rFonts w:ascii="Times New Roman" w:eastAsia="Times New Roman" w:hAnsi="Times New Roman" w:cs="Times New Roman"/>
          <w:i/>
        </w:rPr>
        <w:t>minimis</w:t>
      </w:r>
      <w:proofErr w:type="spellEnd"/>
      <w:r w:rsidR="00FE3D2C" w:rsidRPr="000F007C">
        <w:rPr>
          <w:rFonts w:ascii="Times New Roman" w:eastAsia="Times New Roman" w:hAnsi="Times New Roman" w:cs="Times New Roman"/>
          <w:i/>
        </w:rPr>
        <w:t xml:space="preserve"> </w:t>
      </w:r>
      <w:r w:rsidR="00FE3D2C" w:rsidRPr="000F007C">
        <w:rPr>
          <w:rFonts w:ascii="Times New Roman" w:eastAsia="Times New Roman" w:hAnsi="Times New Roman" w:cs="Times New Roman"/>
        </w:rPr>
        <w:t>range will allow flexibility for issuers that will improve the health and competitiveness of the market.</w:t>
      </w:r>
      <w:r w:rsidR="00FE3D2C" w:rsidRPr="000F007C">
        <w:rPr>
          <w:rStyle w:val="FootnoteReference"/>
          <w:rFonts w:ascii="Times New Roman" w:eastAsia="Times New Roman" w:hAnsi="Times New Roman" w:cs="Times New Roman"/>
        </w:rPr>
        <w:footnoteReference w:id="41"/>
      </w:r>
      <w:r w:rsidR="00FE3D2C" w:rsidRPr="000F007C">
        <w:rPr>
          <w:rFonts w:ascii="Times New Roman" w:eastAsia="Times New Roman" w:hAnsi="Times New Roman" w:cs="Times New Roman"/>
        </w:rPr>
        <w:t xml:space="preserve"> </w:t>
      </w:r>
    </w:p>
    <w:p w14:paraId="2C2AD73E" w14:textId="77777777" w:rsidR="00237AC4" w:rsidRDefault="00FE3D2C" w:rsidP="00237AC4">
      <w:pPr>
        <w:spacing w:line="480" w:lineRule="auto"/>
        <w:ind w:firstLine="720"/>
        <w:rPr>
          <w:rFonts w:ascii="Times New Roman" w:eastAsia="Times New Roman" w:hAnsi="Times New Roman" w:cs="Times New Roman"/>
        </w:rPr>
      </w:pPr>
      <w:r w:rsidRPr="000F007C">
        <w:rPr>
          <w:rFonts w:ascii="Times New Roman" w:eastAsia="Times New Roman" w:hAnsi="Times New Roman" w:cs="Times New Roman"/>
        </w:rPr>
        <w:t xml:space="preserve">Not unexpectedly, </w:t>
      </w:r>
      <w:r>
        <w:rPr>
          <w:rFonts w:ascii="Times New Roman" w:eastAsia="Times New Roman" w:hAnsi="Times New Roman" w:cs="Times New Roman"/>
        </w:rPr>
        <w:t>issuers</w:t>
      </w:r>
      <w:r w:rsidRPr="000F007C">
        <w:rPr>
          <w:rFonts w:ascii="Times New Roman" w:eastAsia="Times New Roman" w:hAnsi="Times New Roman" w:cs="Times New Roman"/>
        </w:rPr>
        <w:t xml:space="preserve"> supported the expanded </w:t>
      </w:r>
      <w:r w:rsidRPr="000F007C">
        <w:rPr>
          <w:rFonts w:ascii="Times New Roman" w:eastAsia="Times New Roman" w:hAnsi="Times New Roman" w:cs="Times New Roman"/>
          <w:i/>
        </w:rPr>
        <w:t xml:space="preserve">de </w:t>
      </w:r>
      <w:proofErr w:type="spellStart"/>
      <w:r w:rsidRPr="000F007C">
        <w:rPr>
          <w:rFonts w:ascii="Times New Roman" w:eastAsia="Times New Roman" w:hAnsi="Times New Roman" w:cs="Times New Roman"/>
          <w:i/>
        </w:rPr>
        <w:t>minimis</w:t>
      </w:r>
      <w:proofErr w:type="spellEnd"/>
      <w:r w:rsidRPr="000F007C">
        <w:rPr>
          <w:rFonts w:ascii="Times New Roman" w:eastAsia="Times New Roman" w:hAnsi="Times New Roman" w:cs="Times New Roman"/>
        </w:rPr>
        <w:t xml:space="preserve"> range.</w:t>
      </w:r>
      <w:r w:rsidRPr="000F007C">
        <w:rPr>
          <w:rStyle w:val="FootnoteReference"/>
          <w:rFonts w:ascii="Times New Roman" w:eastAsia="Times New Roman" w:hAnsi="Times New Roman" w:cs="Times New Roman"/>
        </w:rPr>
        <w:footnoteReference w:id="42"/>
      </w:r>
      <w:r w:rsidR="00237AC4">
        <w:rPr>
          <w:rFonts w:ascii="Times New Roman" w:eastAsia="Times New Roman" w:hAnsi="Times New Roman" w:cs="Times New Roman"/>
        </w:rPr>
        <w:t xml:space="preserve"> </w:t>
      </w:r>
      <w:r w:rsidRPr="000F007C">
        <w:rPr>
          <w:rFonts w:ascii="Times New Roman" w:eastAsia="Times New Roman" w:hAnsi="Times New Roman" w:cs="Times New Roman"/>
        </w:rPr>
        <w:t xml:space="preserve"> According to Anthem, “the ability to offer a range of [plan] designs that appeal to consumers with different demographic profiles and health care needs is particularly important in the individual market,” and the “additional allowed </w:t>
      </w:r>
      <w:r w:rsidR="00237AC4">
        <w:rPr>
          <w:rFonts w:ascii="Times New Roman" w:eastAsia="Times New Roman" w:hAnsi="Times New Roman" w:cs="Times New Roman"/>
        </w:rPr>
        <w:t>[actuarial value]</w:t>
      </w:r>
      <w:r w:rsidRPr="000F007C">
        <w:rPr>
          <w:rFonts w:ascii="Times New Roman" w:eastAsia="Times New Roman" w:hAnsi="Times New Roman" w:cs="Times New Roman"/>
        </w:rPr>
        <w:t xml:space="preserve"> variation could protect or increase enrollment by making certain attractive plan designs more accessible to consumers.”</w:t>
      </w:r>
      <w:r w:rsidRPr="000F007C">
        <w:rPr>
          <w:rStyle w:val="FootnoteReference"/>
          <w:rFonts w:ascii="Times New Roman" w:eastAsia="Times New Roman" w:hAnsi="Times New Roman" w:cs="Times New Roman"/>
        </w:rPr>
        <w:footnoteReference w:id="43"/>
      </w:r>
      <w:r w:rsidR="00237AC4">
        <w:rPr>
          <w:rFonts w:ascii="Times New Roman" w:eastAsia="Times New Roman" w:hAnsi="Times New Roman" w:cs="Times New Roman"/>
        </w:rPr>
        <w:t xml:space="preserve"> </w:t>
      </w:r>
      <w:r w:rsidRPr="000F007C">
        <w:rPr>
          <w:rFonts w:ascii="Times New Roman" w:eastAsia="Times New Roman" w:hAnsi="Times New Roman" w:cs="Times New Roman"/>
        </w:rPr>
        <w:t xml:space="preserve"> </w:t>
      </w:r>
      <w:proofErr w:type="spellStart"/>
      <w:r w:rsidRPr="000F007C">
        <w:rPr>
          <w:rFonts w:ascii="Times New Roman" w:eastAsia="Times New Roman" w:hAnsi="Times New Roman" w:cs="Times New Roman"/>
        </w:rPr>
        <w:t>Centene</w:t>
      </w:r>
      <w:proofErr w:type="spellEnd"/>
      <w:r w:rsidRPr="000F007C">
        <w:rPr>
          <w:rFonts w:ascii="Times New Roman" w:eastAsia="Times New Roman" w:hAnsi="Times New Roman" w:cs="Times New Roman"/>
        </w:rPr>
        <w:t xml:space="preserve"> added that “[t]he flexibility allowed by creating greater variance within a metal tier will help issuers maintain their current plans year over year, while minimizing disruption by avoiding discontinuance notifications.”</w:t>
      </w:r>
      <w:r w:rsidRPr="000F007C">
        <w:rPr>
          <w:rStyle w:val="FootnoteReference"/>
          <w:rFonts w:ascii="Times New Roman" w:eastAsia="Times New Roman" w:hAnsi="Times New Roman" w:cs="Times New Roman"/>
        </w:rPr>
        <w:footnoteReference w:id="44"/>
      </w:r>
      <w:r w:rsidR="00237AC4">
        <w:rPr>
          <w:rFonts w:ascii="Times New Roman" w:eastAsia="Times New Roman" w:hAnsi="Times New Roman" w:cs="Times New Roman"/>
        </w:rPr>
        <w:t xml:space="preserve"> </w:t>
      </w:r>
    </w:p>
    <w:p w14:paraId="3B405E34" w14:textId="49ABF89C" w:rsidR="00FE3D2C" w:rsidRPr="00237AC4" w:rsidRDefault="00FE3D2C" w:rsidP="00237AC4">
      <w:pPr>
        <w:spacing w:line="480" w:lineRule="auto"/>
        <w:ind w:firstLine="720"/>
        <w:rPr>
          <w:rFonts w:ascii="Times New Roman" w:eastAsia="Times New Roman" w:hAnsi="Times New Roman" w:cs="Times New Roman"/>
        </w:rPr>
      </w:pPr>
      <w:r w:rsidRPr="00371B92">
        <w:rPr>
          <w:rFonts w:ascii="Times New Roman" w:eastAsia="Times New Roman" w:hAnsi="Times New Roman" w:cs="Times New Roman"/>
        </w:rPr>
        <w:t xml:space="preserve">HAL has utilized this change to add an additional silver plan this year, keeping all other plans at their prior </w:t>
      </w:r>
      <w:r>
        <w:rPr>
          <w:rFonts w:ascii="Times New Roman" w:eastAsia="Times New Roman" w:hAnsi="Times New Roman" w:cs="Times New Roman"/>
        </w:rPr>
        <w:t>actuarial value</w:t>
      </w:r>
      <w:r w:rsidR="00237AC4">
        <w:rPr>
          <w:rFonts w:ascii="Times New Roman" w:eastAsia="Times New Roman" w:hAnsi="Times New Roman" w:cs="Times New Roman"/>
        </w:rPr>
        <w:t xml:space="preserve">.  Although </w:t>
      </w:r>
      <w:r w:rsidRPr="00371B92">
        <w:rPr>
          <w:rFonts w:ascii="Times New Roman" w:eastAsia="Times New Roman" w:hAnsi="Times New Roman" w:cs="Times New Roman"/>
        </w:rPr>
        <w:t>it is commendable to at least add one plan, HAL has not provided details on how this adjustment will affect the overall cost of the plan.</w:t>
      </w:r>
      <w:r>
        <w:rPr>
          <w:rFonts w:ascii="Times New Roman" w:eastAsia="Times New Roman" w:hAnsi="Times New Roman" w:cs="Times New Roman"/>
        </w:rPr>
        <w:t xml:space="preserve">  </w:t>
      </w:r>
      <w:r w:rsidRPr="00371B92">
        <w:rPr>
          <w:rFonts w:ascii="Times New Roman" w:eastAsia="Times New Roman" w:hAnsi="Times New Roman" w:cs="Times New Roman"/>
        </w:rPr>
        <w:t xml:space="preserve">Furthermore, HAL could have taken further advantage of this rule change to implement plans at other metal levels with an adjusted </w:t>
      </w:r>
      <w:r>
        <w:rPr>
          <w:rFonts w:ascii="Times New Roman" w:eastAsia="Times New Roman" w:hAnsi="Times New Roman" w:cs="Times New Roman"/>
        </w:rPr>
        <w:t>actuarial</w:t>
      </w:r>
      <w:r w:rsidRPr="00371B92">
        <w:rPr>
          <w:rFonts w:ascii="Times New Roman" w:eastAsia="Times New Roman" w:hAnsi="Times New Roman" w:cs="Times New Roman"/>
        </w:rPr>
        <w:t xml:space="preserve"> value to create savings across the board. </w:t>
      </w:r>
    </w:p>
    <w:p w14:paraId="1A7990DD" w14:textId="77777777" w:rsidR="00374AB3" w:rsidRPr="000F007C" w:rsidRDefault="00374AB3" w:rsidP="00374AB3">
      <w:pPr>
        <w:suppressAutoHyphens/>
        <w:spacing w:line="480" w:lineRule="auto"/>
        <w:rPr>
          <w:rFonts w:ascii="Times New Roman" w:eastAsia="Times New Roman" w:hAnsi="Times New Roman" w:cs="Times New Roman"/>
          <w:shd w:val="clear" w:color="auto" w:fill="FFFFFF"/>
        </w:rPr>
      </w:pPr>
      <w:r w:rsidRPr="000F007C">
        <w:rPr>
          <w:rFonts w:ascii="Times New Roman" w:eastAsia="Times New Roman" w:hAnsi="Times New Roman" w:cs="Times New Roman"/>
          <w:b/>
          <w:shd w:val="clear" w:color="auto" w:fill="FFFFFF"/>
        </w:rPr>
        <w:t>IV. Conclusion</w:t>
      </w:r>
    </w:p>
    <w:p w14:paraId="44B73850" w14:textId="7ECA92D8" w:rsidR="00374AB3" w:rsidRPr="000F007C" w:rsidRDefault="00374AB3" w:rsidP="00851C4A">
      <w:pPr>
        <w:suppressAutoHyphens/>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HAL</w:t>
      </w:r>
      <w:r w:rsidRPr="000F007C">
        <w:rPr>
          <w:rFonts w:ascii="Times New Roman" w:eastAsia="Times New Roman" w:hAnsi="Times New Roman" w:cs="Times New Roman"/>
          <w:shd w:val="clear" w:color="auto" w:fill="FFFFFF"/>
        </w:rPr>
        <w:t xml:space="preserve"> has not adequately explained in its Actuarial Memorandum why a </w:t>
      </w:r>
      <w:r w:rsidR="00F13E47">
        <w:rPr>
          <w:rFonts w:ascii="Times New Roman" w:eastAsia="Times New Roman" w:hAnsi="Times New Roman" w:cs="Times New Roman"/>
          <w:shd w:val="clear" w:color="auto" w:fill="FFFFFF"/>
        </w:rPr>
        <w:t>41.7</w:t>
      </w:r>
      <w:r>
        <w:rPr>
          <w:rFonts w:ascii="Times New Roman" w:eastAsia="Times New Roman" w:hAnsi="Times New Roman" w:cs="Times New Roman"/>
          <w:shd w:val="clear" w:color="auto" w:fill="FFFFFF"/>
        </w:rPr>
        <w:t>% average rate</w:t>
      </w:r>
      <w:r w:rsidRPr="000F007C">
        <w:rPr>
          <w:rFonts w:ascii="Times New Roman" w:eastAsia="Times New Roman" w:hAnsi="Times New Roman" w:cs="Times New Roman"/>
          <w:shd w:val="clear" w:color="auto" w:fill="FFFFFF"/>
        </w:rPr>
        <w:t xml:space="preserve"> increase is justified.  The Department should insist </w:t>
      </w:r>
      <w:r>
        <w:rPr>
          <w:rFonts w:ascii="Times New Roman" w:eastAsia="Times New Roman" w:hAnsi="Times New Roman" w:cs="Times New Roman"/>
          <w:shd w:val="clear" w:color="auto" w:fill="FFFFFF"/>
        </w:rPr>
        <w:t>that HAL</w:t>
      </w:r>
      <w:r w:rsidRPr="000F007C">
        <w:rPr>
          <w:rFonts w:ascii="Times New Roman" w:eastAsia="Times New Roman" w:hAnsi="Times New Roman" w:cs="Times New Roman"/>
          <w:shd w:val="clear" w:color="auto" w:fill="FFFFFF"/>
        </w:rPr>
        <w:t xml:space="preserve"> elaborate on the assumptions it made, without unnecessary redactions, and account for the impact of the various changes in the Market Stabilization Rule that should put </w:t>
      </w:r>
      <w:r w:rsidR="00237AC4">
        <w:rPr>
          <w:rFonts w:ascii="Times New Roman" w:eastAsia="Times New Roman" w:hAnsi="Times New Roman" w:cs="Times New Roman"/>
          <w:shd w:val="clear" w:color="auto" w:fill="FFFFFF"/>
        </w:rPr>
        <w:t>a downward pressure on rates.  If HAL is unable to adequately respond to these concerns</w:t>
      </w:r>
      <w:r w:rsidRPr="000F007C">
        <w:rPr>
          <w:rFonts w:ascii="Times New Roman" w:eastAsia="Times New Roman" w:hAnsi="Times New Roman" w:cs="Times New Roman"/>
          <w:shd w:val="clear" w:color="auto" w:fill="FFFFFF"/>
        </w:rPr>
        <w:t xml:space="preserve">, the Department should deem </w:t>
      </w:r>
      <w:r>
        <w:rPr>
          <w:rFonts w:ascii="Times New Roman" w:eastAsia="Times New Roman" w:hAnsi="Times New Roman" w:cs="Times New Roman"/>
          <w:shd w:val="clear" w:color="auto" w:fill="FFFFFF"/>
        </w:rPr>
        <w:t>HAL</w:t>
      </w:r>
      <w:r w:rsidRPr="000F007C">
        <w:rPr>
          <w:rFonts w:ascii="Times New Roman" w:eastAsia="Times New Roman" w:hAnsi="Times New Roman" w:cs="Times New Roman"/>
          <w:shd w:val="clear" w:color="auto" w:fill="FFFFFF"/>
        </w:rPr>
        <w:t xml:space="preserve">’s proposed rate increase unreasonable.  </w:t>
      </w:r>
    </w:p>
    <w:p w14:paraId="49472D66" w14:textId="77777777" w:rsidR="00374AB3" w:rsidRPr="00371B92" w:rsidRDefault="00374AB3" w:rsidP="00E169A1">
      <w:pPr>
        <w:tabs>
          <w:tab w:val="left" w:pos="720"/>
        </w:tabs>
        <w:spacing w:line="480" w:lineRule="auto"/>
        <w:rPr>
          <w:rFonts w:ascii="Times New Roman" w:hAnsi="Times New Roman" w:cs="Times New Roman"/>
          <w:u w:val="single"/>
        </w:rPr>
      </w:pPr>
    </w:p>
    <w:sectPr w:rsidR="00374AB3" w:rsidRPr="00371B92" w:rsidSect="00471865">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F525" w14:textId="77777777" w:rsidR="0021677C" w:rsidRDefault="0021677C" w:rsidP="00EB683D">
      <w:r>
        <w:separator/>
      </w:r>
    </w:p>
  </w:endnote>
  <w:endnote w:type="continuationSeparator" w:id="0">
    <w:p w14:paraId="566D4A88" w14:textId="77777777" w:rsidR="0021677C" w:rsidRDefault="0021677C" w:rsidP="00EB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20185"/>
      <w:docPartObj>
        <w:docPartGallery w:val="Page Numbers (Bottom of Page)"/>
        <w:docPartUnique/>
      </w:docPartObj>
    </w:sdtPr>
    <w:sdtEndPr>
      <w:rPr>
        <w:noProof/>
      </w:rPr>
    </w:sdtEndPr>
    <w:sdtContent>
      <w:p w14:paraId="0B75FBD7" w14:textId="04393874" w:rsidR="00DF414D" w:rsidRDefault="00DF414D">
        <w:pPr>
          <w:pStyle w:val="Footer"/>
          <w:jc w:val="center"/>
        </w:pPr>
        <w:r>
          <w:fldChar w:fldCharType="begin"/>
        </w:r>
        <w:r>
          <w:instrText xml:space="preserve"> PAGE   \* MERGEFORMAT </w:instrText>
        </w:r>
        <w:r>
          <w:fldChar w:fldCharType="separate"/>
        </w:r>
        <w:r w:rsidR="00253E02">
          <w:rPr>
            <w:noProof/>
          </w:rPr>
          <w:t>8</w:t>
        </w:r>
        <w:r>
          <w:rPr>
            <w:noProof/>
          </w:rPr>
          <w:fldChar w:fldCharType="end"/>
        </w:r>
      </w:p>
    </w:sdtContent>
  </w:sdt>
  <w:p w14:paraId="2892ACDD" w14:textId="77777777" w:rsidR="00DF414D" w:rsidRDefault="00DF41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43208" w14:textId="77777777" w:rsidR="0021677C" w:rsidRDefault="0021677C" w:rsidP="00EB683D">
      <w:r>
        <w:separator/>
      </w:r>
    </w:p>
  </w:footnote>
  <w:footnote w:type="continuationSeparator" w:id="0">
    <w:p w14:paraId="41D144F9" w14:textId="77777777" w:rsidR="0021677C" w:rsidRDefault="0021677C" w:rsidP="00EB683D">
      <w:r>
        <w:continuationSeparator/>
      </w:r>
    </w:p>
  </w:footnote>
  <w:footnote w:id="1">
    <w:p w14:paraId="5BDE1D73" w14:textId="70839027" w:rsidR="005634AC" w:rsidRPr="006C0BD8" w:rsidRDefault="005634AC" w:rsidP="00F56611">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001E4A76" w:rsidRPr="006C0BD8">
        <w:rPr>
          <w:rFonts w:ascii="Times New Roman" w:hAnsi="Times New Roman" w:cs="Times New Roman"/>
          <w:sz w:val="20"/>
          <w:szCs w:val="20"/>
        </w:rPr>
        <w:t xml:space="preserve">Chris </w:t>
      </w:r>
      <w:proofErr w:type="spellStart"/>
      <w:r w:rsidR="001E4A76" w:rsidRPr="006C0BD8">
        <w:rPr>
          <w:rFonts w:ascii="Times New Roman" w:hAnsi="Times New Roman" w:cs="Times New Roman"/>
          <w:sz w:val="20"/>
          <w:szCs w:val="20"/>
        </w:rPr>
        <w:t>Girod</w:t>
      </w:r>
      <w:proofErr w:type="spellEnd"/>
      <w:r w:rsidR="001E4A76" w:rsidRPr="006C0BD8">
        <w:rPr>
          <w:rFonts w:ascii="Times New Roman" w:hAnsi="Times New Roman" w:cs="Times New Roman"/>
          <w:sz w:val="20"/>
          <w:szCs w:val="20"/>
        </w:rPr>
        <w:t xml:space="preserve"> et al., </w:t>
      </w:r>
      <w:r w:rsidR="001E4A76" w:rsidRPr="006C0BD8">
        <w:rPr>
          <w:rFonts w:ascii="Times New Roman" w:hAnsi="Times New Roman" w:cs="Times New Roman"/>
          <w:i/>
          <w:sz w:val="20"/>
          <w:szCs w:val="20"/>
        </w:rPr>
        <w:t xml:space="preserve">2017 </w:t>
      </w:r>
      <w:proofErr w:type="spellStart"/>
      <w:r w:rsidR="001E4A76" w:rsidRPr="006C0BD8">
        <w:rPr>
          <w:rFonts w:ascii="Times New Roman" w:hAnsi="Times New Roman" w:cs="Times New Roman"/>
          <w:i/>
          <w:sz w:val="20"/>
          <w:szCs w:val="20"/>
        </w:rPr>
        <w:t>Milliman</w:t>
      </w:r>
      <w:proofErr w:type="spellEnd"/>
      <w:r w:rsidR="001E4A76" w:rsidRPr="006C0BD8">
        <w:rPr>
          <w:rFonts w:ascii="Times New Roman" w:hAnsi="Times New Roman" w:cs="Times New Roman"/>
          <w:i/>
          <w:sz w:val="20"/>
          <w:szCs w:val="20"/>
        </w:rPr>
        <w:t xml:space="preserve"> Medical Index</w:t>
      </w:r>
      <w:r w:rsidR="001E4A76" w:rsidRPr="006C0BD8">
        <w:rPr>
          <w:rFonts w:ascii="Times New Roman" w:hAnsi="Times New Roman" w:cs="Times New Roman"/>
          <w:sz w:val="20"/>
          <w:szCs w:val="20"/>
        </w:rPr>
        <w:t xml:space="preserve">, </w:t>
      </w:r>
      <w:proofErr w:type="spellStart"/>
      <w:r w:rsidR="001E4A76" w:rsidRPr="006C0BD8">
        <w:rPr>
          <w:rFonts w:ascii="Times New Roman" w:hAnsi="Times New Roman" w:cs="Times New Roman"/>
          <w:smallCaps/>
          <w:sz w:val="20"/>
          <w:szCs w:val="20"/>
        </w:rPr>
        <w:t>Milliman</w:t>
      </w:r>
      <w:proofErr w:type="spellEnd"/>
      <w:r w:rsidR="001E4A76" w:rsidRPr="006C0BD8">
        <w:rPr>
          <w:rFonts w:ascii="Times New Roman" w:hAnsi="Times New Roman" w:cs="Times New Roman"/>
          <w:smallCaps/>
          <w:sz w:val="20"/>
          <w:szCs w:val="20"/>
        </w:rPr>
        <w:t xml:space="preserve"> Research Report</w:t>
      </w:r>
      <w:r w:rsidR="001E4A76" w:rsidRPr="006C0BD8">
        <w:rPr>
          <w:rFonts w:ascii="Times New Roman" w:hAnsi="Times New Roman" w:cs="Times New Roman"/>
          <w:sz w:val="20"/>
          <w:szCs w:val="20"/>
        </w:rPr>
        <w:t xml:space="preserve"> 3 (May 2017), http://www.milliman.com/uploadedFiles/insight/Periodicals/mmi/2017-milliman-medical-index.pdf.</w:t>
      </w:r>
    </w:p>
  </w:footnote>
  <w:footnote w:id="2">
    <w:p w14:paraId="082313BC" w14:textId="27CCB059" w:rsidR="00BB1B92" w:rsidRPr="006C0BD8" w:rsidRDefault="00BB1B92">
      <w:pPr>
        <w:pStyle w:val="FootnoteText"/>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at 4.</w:t>
      </w:r>
      <w:proofErr w:type="gramEnd"/>
    </w:p>
  </w:footnote>
  <w:footnote w:id="3">
    <w:p w14:paraId="626A586E" w14:textId="6DA87858" w:rsidR="00124ED6" w:rsidRPr="006C0BD8" w:rsidRDefault="00124ED6">
      <w:pPr>
        <w:pStyle w:val="FootnoteText"/>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HAL, Actuarial Mem. </w:t>
      </w:r>
      <w:proofErr w:type="gramStart"/>
      <w:r w:rsidRPr="006C0BD8">
        <w:rPr>
          <w:rFonts w:ascii="Times New Roman" w:hAnsi="Times New Roman" w:cs="Times New Roman"/>
          <w:sz w:val="20"/>
          <w:szCs w:val="20"/>
        </w:rPr>
        <w:t>5 (2017).</w:t>
      </w:r>
      <w:proofErr w:type="gramEnd"/>
    </w:p>
  </w:footnote>
  <w:footnote w:id="4">
    <w:p w14:paraId="456C5D79" w14:textId="77777777" w:rsidR="00AC0E86" w:rsidRPr="006C0BD8" w:rsidRDefault="00AC0E86" w:rsidP="00AC0E86">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Patient Protection and Affordable Care Act; Market Stabilization, 82 Fed. Reg. 10,980, 10,981 (proposed Feb. 17, 2017) (hereinafter “Market Stabilization Proposed Rule”).</w:t>
      </w:r>
    </w:p>
  </w:footnote>
  <w:footnote w:id="5">
    <w:p w14:paraId="2E91BB9E" w14:textId="77777777"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42 U.S.C. § 300gg-1(a).</w:t>
      </w:r>
      <w:proofErr w:type="gramEnd"/>
      <w:r w:rsidRPr="006C0BD8">
        <w:rPr>
          <w:rFonts w:ascii="Times New Roman" w:hAnsi="Times New Roman" w:cs="Times New Roman"/>
          <w:sz w:val="20"/>
          <w:szCs w:val="20"/>
        </w:rPr>
        <w:t xml:space="preserve"> </w:t>
      </w:r>
    </w:p>
  </w:footnote>
  <w:footnote w:id="6">
    <w:p w14:paraId="27D7617C" w14:textId="77777777"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Market Stabilization Proposed Rule, 82 Fed. </w:t>
      </w:r>
      <w:proofErr w:type="gramStart"/>
      <w:r w:rsidRPr="006C0BD8">
        <w:rPr>
          <w:rFonts w:ascii="Times New Roman" w:hAnsi="Times New Roman" w:cs="Times New Roman"/>
          <w:sz w:val="20"/>
          <w:szCs w:val="20"/>
        </w:rPr>
        <w:t>Reg. at 10,983.</w:t>
      </w:r>
      <w:proofErr w:type="gramEnd"/>
    </w:p>
  </w:footnote>
  <w:footnote w:id="7">
    <w:p w14:paraId="0CC397A9" w14:textId="77777777"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Id</w:t>
      </w:r>
      <w:r w:rsidRPr="006C0BD8">
        <w:rPr>
          <w:rFonts w:ascii="Times New Roman" w:hAnsi="Times New Roman" w:cs="Times New Roman"/>
          <w:sz w:val="20"/>
          <w:szCs w:val="20"/>
        </w:rPr>
        <w:t xml:space="preserve">. (citing </w:t>
      </w:r>
      <w:r w:rsidRPr="006C0BD8">
        <w:rPr>
          <w:rFonts w:ascii="Times New Roman" w:hAnsi="Times New Roman" w:cs="Times New Roman"/>
          <w:bCs/>
          <w:color w:val="373739"/>
          <w:sz w:val="20"/>
          <w:szCs w:val="20"/>
          <w:shd w:val="clear" w:color="auto" w:fill="FFFFFF"/>
        </w:rPr>
        <w:t>Patient Protection and Affordable Care Act; Health Insurance Market Rules; Rate Review,</w:t>
      </w:r>
      <w:r w:rsidRPr="006C0BD8">
        <w:rPr>
          <w:rFonts w:ascii="Times New Roman" w:hAnsi="Times New Roman" w:cs="Times New Roman"/>
          <w:sz w:val="20"/>
          <w:szCs w:val="20"/>
        </w:rPr>
        <w:t xml:space="preserve"> 78 Fed. Reg.  13,406, 13,416 (Feb. 27, 2013)).</w:t>
      </w:r>
    </w:p>
  </w:footnote>
  <w:footnote w:id="8">
    <w:p w14:paraId="469DD80E" w14:textId="77777777"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bCs/>
          <w:sz w:val="20"/>
          <w:szCs w:val="20"/>
        </w:rPr>
        <w:t xml:space="preserve">Patient Protection and Affordable Care Act; Market Stabilization, 82 Fed. </w:t>
      </w:r>
      <w:proofErr w:type="gramStart"/>
      <w:r w:rsidRPr="006C0BD8">
        <w:rPr>
          <w:rFonts w:ascii="Times New Roman" w:hAnsi="Times New Roman" w:cs="Times New Roman"/>
          <w:bCs/>
          <w:sz w:val="20"/>
          <w:szCs w:val="20"/>
        </w:rPr>
        <w:t>Reg. 18,346 18,377 (April 18, 2017) (hereinafter “Market Stabilization Final Rule”).</w:t>
      </w:r>
      <w:proofErr w:type="gramEnd"/>
    </w:p>
  </w:footnote>
  <w:footnote w:id="9">
    <w:p w14:paraId="30766AA0" w14:textId="77777777" w:rsidR="004B1FB2" w:rsidRPr="006C0BD8" w:rsidRDefault="004B1FB2" w:rsidP="004B1FB2">
      <w:pPr>
        <w:pStyle w:val="FootnoteText"/>
        <w:suppressAutoHyphens/>
        <w:rPr>
          <w:rFonts w:ascii="Times New Roman" w:hAnsi="Times New Roman" w:cs="Times New Roman"/>
          <w:iCs/>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Id.</w:t>
      </w:r>
      <w:r w:rsidRPr="006C0BD8">
        <w:rPr>
          <w:rFonts w:ascii="Times New Roman" w:hAnsi="Times New Roman" w:cs="Times New Roman"/>
          <w:sz w:val="20"/>
          <w:szCs w:val="20"/>
        </w:rPr>
        <w:t xml:space="preserve"> (citing 2016 OEP; Reflection on enrollment, Center for U.S. Health System Reform, McKinsey &amp; Company, May 2016, available at </w:t>
      </w:r>
      <w:r w:rsidRPr="006C0BD8">
        <w:rPr>
          <w:rFonts w:ascii="Times New Roman" w:hAnsi="Times New Roman" w:cs="Times New Roman"/>
          <w:i/>
          <w:iCs/>
          <w:sz w:val="20"/>
          <w:szCs w:val="20"/>
        </w:rPr>
        <w:t>http://healthcare.mckinsey.com/2016-oep-consumer-survey-findings</w:t>
      </w:r>
      <w:r w:rsidRPr="006C0BD8">
        <w:rPr>
          <w:rFonts w:ascii="Times New Roman" w:hAnsi="Times New Roman" w:cs="Times New Roman"/>
          <w:iCs/>
          <w:sz w:val="20"/>
          <w:szCs w:val="20"/>
        </w:rPr>
        <w:t>).</w:t>
      </w:r>
    </w:p>
  </w:footnote>
  <w:footnote w:id="10">
    <w:p w14:paraId="3FE93FB5" w14:textId="77777777"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See, e.g.</w:t>
      </w:r>
      <w:r w:rsidRPr="006C0BD8">
        <w:rPr>
          <w:rFonts w:ascii="Times New Roman" w:hAnsi="Times New Roman" w:cs="Times New Roman"/>
          <w:sz w:val="20"/>
          <w:szCs w:val="20"/>
        </w:rPr>
        <w:t xml:space="preserve">, Aetna, Comment Letter on Market Stabilization Proposed Rule 2, 7 (March 6, 2017), https://www.regulations.gov/document?D=CMS-2017-0021-1143; Anthem, Comment Letter on Market Stabilization Proposed Rule 9 (March 7, 2017), https://www.regulations.gov/document?D=CMS-2017-0021-3083; BlueCross Blue Shield </w:t>
      </w:r>
      <w:proofErr w:type="spellStart"/>
      <w:r w:rsidRPr="006C0BD8">
        <w:rPr>
          <w:rFonts w:ascii="Times New Roman" w:hAnsi="Times New Roman" w:cs="Times New Roman"/>
          <w:sz w:val="20"/>
          <w:szCs w:val="20"/>
        </w:rPr>
        <w:t>Ass’n</w:t>
      </w:r>
      <w:proofErr w:type="spellEnd"/>
      <w:r w:rsidRPr="006C0BD8">
        <w:rPr>
          <w:rFonts w:ascii="Times New Roman" w:hAnsi="Times New Roman" w:cs="Times New Roman"/>
          <w:sz w:val="20"/>
          <w:szCs w:val="20"/>
        </w:rPr>
        <w:t xml:space="preserve">, Comment Letter on Market Stabilization Proposed Rule 1, 3 (March 7, 2017), https://www.regulations.gov/document?D=CMS-2017-0021-3144;  </w:t>
      </w:r>
      <w:proofErr w:type="spellStart"/>
      <w:r w:rsidRPr="006C0BD8">
        <w:rPr>
          <w:rFonts w:ascii="Times New Roman" w:hAnsi="Times New Roman" w:cs="Times New Roman"/>
          <w:sz w:val="20"/>
          <w:szCs w:val="20"/>
        </w:rPr>
        <w:t>Centene</w:t>
      </w:r>
      <w:proofErr w:type="spellEnd"/>
      <w:r w:rsidRPr="006C0BD8">
        <w:rPr>
          <w:rFonts w:ascii="Times New Roman" w:hAnsi="Times New Roman" w:cs="Times New Roman"/>
          <w:sz w:val="20"/>
          <w:szCs w:val="20"/>
        </w:rPr>
        <w:t xml:space="preserve">, Comment Letter on Market Stabilization Proposed Rule 1 (March 7, 2017), https://www.regulations.gov/document?D=CMS-2017-0021-1716; Cigna, Comment Letter on Market Stabilization Proposed Rule 3 (March 7, 2017), https://www.regulations.gov/document?D=CMS-2017-0021-3237. </w:t>
      </w:r>
    </w:p>
  </w:footnote>
  <w:footnote w:id="11">
    <w:p w14:paraId="723DD5FF" w14:textId="6D11070F"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Anthem,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w:t>
      </w:r>
      <w:r w:rsidR="00167522" w:rsidRPr="006C0BD8">
        <w:rPr>
          <w:rFonts w:ascii="Times New Roman" w:hAnsi="Times New Roman" w:cs="Times New Roman"/>
          <w:sz w:val="20"/>
          <w:szCs w:val="20"/>
        </w:rPr>
        <w:t>ote</w:t>
      </w:r>
      <w:r w:rsidRPr="006C0BD8">
        <w:rPr>
          <w:rFonts w:ascii="Times New Roman" w:hAnsi="Times New Roman" w:cs="Times New Roman"/>
          <w:sz w:val="20"/>
          <w:szCs w:val="20"/>
        </w:rPr>
        <w:t xml:space="preserv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00167522" w:rsidRPr="006C0BD8">
        <w:rPr>
          <w:rFonts w:ascii="Times New Roman" w:hAnsi="Times New Roman" w:cs="Times New Roman"/>
          <w:sz w:val="20"/>
          <w:szCs w:val="20"/>
        </w:rPr>
        <w:t xml:space="preserve"> </w:t>
      </w:r>
      <w:r w:rsidRPr="006C0BD8">
        <w:rPr>
          <w:rFonts w:ascii="Times New Roman" w:hAnsi="Times New Roman" w:cs="Times New Roman"/>
          <w:sz w:val="20"/>
          <w:szCs w:val="20"/>
        </w:rPr>
        <w:t xml:space="preserve">at 9. </w:t>
      </w:r>
    </w:p>
  </w:footnote>
  <w:footnote w:id="12">
    <w:p w14:paraId="49479045" w14:textId="4148AF4E" w:rsidR="004B1FB2" w:rsidRPr="006C0BD8" w:rsidRDefault="004B1FB2" w:rsidP="004B1FB2">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Cigna, </w:t>
      </w:r>
      <w:r w:rsidRPr="006C0BD8">
        <w:rPr>
          <w:rFonts w:ascii="Times New Roman" w:hAnsi="Times New Roman" w:cs="Times New Roman"/>
          <w:i/>
          <w:sz w:val="20"/>
          <w:szCs w:val="20"/>
        </w:rPr>
        <w:t>supra</w:t>
      </w:r>
      <w:r w:rsidR="00167522" w:rsidRPr="006C0BD8">
        <w:rPr>
          <w:rFonts w:ascii="Times New Roman" w:hAnsi="Times New Roman" w:cs="Times New Roman"/>
          <w:sz w:val="20"/>
          <w:szCs w:val="20"/>
        </w:rPr>
        <w:t xml:space="preserve"> note</w:t>
      </w:r>
      <w:r w:rsidRPr="006C0BD8">
        <w:rPr>
          <w:rFonts w:ascii="Times New Roman" w:hAnsi="Times New Roman" w:cs="Times New Roman"/>
          <w:sz w:val="20"/>
          <w:szCs w:val="20"/>
        </w:rPr>
        <w:t xml:space="preserv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w:t>
      </w:r>
    </w:p>
  </w:footnote>
  <w:footnote w:id="13">
    <w:p w14:paraId="7B0F094C" w14:textId="1231EF3A" w:rsidR="006C0BD8" w:rsidRPr="006C0BD8" w:rsidRDefault="006C0BD8">
      <w:pPr>
        <w:pStyle w:val="FootnoteText"/>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HAL, Actuarial Mem. </w:t>
      </w:r>
      <w:proofErr w:type="gramStart"/>
      <w:r w:rsidRPr="006C0BD8">
        <w:rPr>
          <w:rFonts w:ascii="Times New Roman" w:hAnsi="Times New Roman" w:cs="Times New Roman"/>
          <w:sz w:val="20"/>
          <w:szCs w:val="20"/>
        </w:rPr>
        <w:t>5 (2017).</w:t>
      </w:r>
      <w:proofErr w:type="gramEnd"/>
    </w:p>
  </w:footnote>
  <w:footnote w:id="14">
    <w:p w14:paraId="5540143B" w14:textId="769C31C9" w:rsidR="006C0BD8" w:rsidRPr="006C0BD8" w:rsidRDefault="006C0BD8">
      <w:pPr>
        <w:pStyle w:val="FootnoteText"/>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xml:space="preserve"> at 6.</w:t>
      </w:r>
      <w:proofErr w:type="gramEnd"/>
    </w:p>
  </w:footnote>
  <w:footnote w:id="15">
    <w:p w14:paraId="2AD6EB9C" w14:textId="77777777" w:rsidR="00FE3D2C" w:rsidRPr="006C0BD8" w:rsidRDefault="00FE3D2C" w:rsidP="00FE3D2C">
      <w:pPr>
        <w:pStyle w:val="FootnoteText"/>
        <w:suppressAutoHyphens/>
        <w:rPr>
          <w:rFonts w:ascii="Times New Roman" w:hAnsi="Times New Roman" w:cs="Times New Roman"/>
          <w:i/>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Market Stabilization Final Rule, 82 Fed.</w:t>
      </w:r>
      <w:proofErr w:type="gramEnd"/>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Reg. at 18,354.</w:t>
      </w:r>
      <w:proofErr w:type="gramEnd"/>
    </w:p>
  </w:footnote>
  <w:footnote w:id="16">
    <w:p w14:paraId="12198AE7" w14:textId="77777777"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at 18,346.</w:t>
      </w:r>
      <w:proofErr w:type="gramEnd"/>
    </w:p>
  </w:footnote>
  <w:footnote w:id="17">
    <w:p w14:paraId="78F2817A" w14:textId="2D46D0C3"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See</w:t>
      </w:r>
      <w:r w:rsidRPr="006C0BD8">
        <w:rPr>
          <w:rFonts w:ascii="Times New Roman" w:hAnsi="Times New Roman" w:cs="Times New Roman"/>
          <w:sz w:val="20"/>
          <w:szCs w:val="20"/>
        </w:rPr>
        <w:t xml:space="preserve"> Aetna,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 Anthem,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 Blue Cross Blue Shield </w:t>
      </w:r>
      <w:proofErr w:type="spellStart"/>
      <w:r w:rsidRPr="006C0BD8">
        <w:rPr>
          <w:rFonts w:ascii="Times New Roman" w:hAnsi="Times New Roman" w:cs="Times New Roman"/>
          <w:sz w:val="20"/>
          <w:szCs w:val="20"/>
        </w:rPr>
        <w:t>Ass’n</w:t>
      </w:r>
      <w:proofErr w:type="spellEnd"/>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 xml:space="preserve">supra </w:t>
      </w:r>
      <w:r w:rsidRPr="006C0BD8">
        <w:rPr>
          <w:rFonts w:ascii="Times New Roman" w:hAnsi="Times New Roman" w:cs="Times New Roman"/>
          <w:sz w:val="20"/>
          <w:szCs w:val="20"/>
        </w:rPr>
        <w:t xml:space="preserve">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5; </w:t>
      </w:r>
      <w:proofErr w:type="spellStart"/>
      <w:r w:rsidRPr="006C0BD8">
        <w:rPr>
          <w:rFonts w:ascii="Times New Roman" w:hAnsi="Times New Roman" w:cs="Times New Roman"/>
          <w:sz w:val="20"/>
          <w:szCs w:val="20"/>
        </w:rPr>
        <w:t>Centene</w:t>
      </w:r>
      <w:proofErr w:type="spellEnd"/>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 Cigna,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w:t>
      </w:r>
    </w:p>
  </w:footnote>
  <w:footnote w:id="18">
    <w:p w14:paraId="0A5E230E" w14:textId="10C38A2E"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Anthem,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w:t>
      </w:r>
    </w:p>
  </w:footnote>
  <w:footnote w:id="19">
    <w:p w14:paraId="58737B9E" w14:textId="3898C92C"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spellStart"/>
      <w:r w:rsidRPr="006C0BD8">
        <w:rPr>
          <w:rFonts w:ascii="Times New Roman" w:hAnsi="Times New Roman" w:cs="Times New Roman"/>
          <w:sz w:val="20"/>
          <w:szCs w:val="20"/>
        </w:rPr>
        <w:t>Centene</w:t>
      </w:r>
      <w:proofErr w:type="spellEnd"/>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w:t>
      </w:r>
    </w:p>
  </w:footnote>
  <w:footnote w:id="20">
    <w:p w14:paraId="615A4AB1" w14:textId="586A7B3E"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Cigna,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w:t>
      </w:r>
    </w:p>
  </w:footnote>
  <w:footnote w:id="21">
    <w:p w14:paraId="5FF05086" w14:textId="0806E6B3" w:rsidR="00FE3D2C" w:rsidRPr="006C0BD8" w:rsidRDefault="00FE3D2C" w:rsidP="00FE3D2C">
      <w:pPr>
        <w:pStyle w:val="FootnoteText"/>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BlueCross BlueShield, </w:t>
      </w:r>
      <w:r w:rsidRPr="006C0BD8">
        <w:rPr>
          <w:rFonts w:ascii="Times New Roman" w:hAnsi="Times New Roman" w:cs="Times New Roman"/>
          <w:i/>
          <w:sz w:val="20"/>
          <w:szCs w:val="20"/>
        </w:rPr>
        <w:t xml:space="preserve">supra </w:t>
      </w:r>
      <w:r w:rsidRPr="006C0BD8">
        <w:rPr>
          <w:rFonts w:ascii="Times New Roman" w:hAnsi="Times New Roman" w:cs="Times New Roman"/>
          <w:sz w:val="20"/>
          <w:szCs w:val="20"/>
        </w:rPr>
        <w:t xml:space="preserve">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5.</w:t>
      </w:r>
    </w:p>
  </w:footnote>
  <w:footnote w:id="22">
    <w:p w14:paraId="239B2AFE"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See</w:t>
      </w:r>
      <w:r w:rsidRPr="006C0BD8">
        <w:rPr>
          <w:rFonts w:ascii="Times New Roman" w:hAnsi="Times New Roman" w:cs="Times New Roman"/>
          <w:sz w:val="20"/>
          <w:szCs w:val="20"/>
        </w:rPr>
        <w:t xml:space="preserve"> 45 C.F.R. § 155.420 (2017); Market Stabilization Final Rule, 82 Fed. </w:t>
      </w:r>
      <w:proofErr w:type="gramStart"/>
      <w:r w:rsidRPr="006C0BD8">
        <w:rPr>
          <w:rFonts w:ascii="Times New Roman" w:hAnsi="Times New Roman" w:cs="Times New Roman"/>
          <w:sz w:val="20"/>
          <w:szCs w:val="20"/>
        </w:rPr>
        <w:t>Reg. at 18,355.</w:t>
      </w:r>
      <w:proofErr w:type="gramEnd"/>
    </w:p>
  </w:footnote>
  <w:footnote w:id="23">
    <w:p w14:paraId="12CD0873" w14:textId="77777777" w:rsidR="00AC6748" w:rsidRPr="006C0BD8" w:rsidRDefault="00AC6748" w:rsidP="00AC6748">
      <w:pPr>
        <w:suppressAutoHyphens/>
        <w:rPr>
          <w:rFonts w:ascii="Times New Roman" w:eastAsia="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See, e.g.</w:t>
      </w:r>
      <w:r w:rsidRPr="006C0BD8">
        <w:rPr>
          <w:rFonts w:ascii="Times New Roman" w:hAnsi="Times New Roman" w:cs="Times New Roman"/>
          <w:sz w:val="20"/>
          <w:szCs w:val="20"/>
        </w:rPr>
        <w:t xml:space="preserve">, </w:t>
      </w:r>
      <w:r w:rsidRPr="006C0BD8">
        <w:rPr>
          <w:rFonts w:ascii="Times New Roman" w:eastAsia="Times New Roman" w:hAnsi="Times New Roman" w:cs="Times New Roman"/>
          <w:sz w:val="20"/>
          <w:szCs w:val="20"/>
        </w:rPr>
        <w:t xml:space="preserve">Julie Appleby, </w:t>
      </w:r>
      <w:r w:rsidRPr="006C0BD8">
        <w:rPr>
          <w:rFonts w:ascii="Times New Roman" w:eastAsia="Times New Roman" w:hAnsi="Times New Roman" w:cs="Times New Roman"/>
          <w:i/>
          <w:sz w:val="20"/>
          <w:szCs w:val="20"/>
        </w:rPr>
        <w:t>UnitedHealth Warns of Marketplace Exit</w:t>
      </w:r>
      <w:r w:rsidRPr="006C0BD8">
        <w:rPr>
          <w:rFonts w:ascii="Times New Roman" w:eastAsia="Times New Roman" w:hAnsi="Times New Roman" w:cs="Times New Roman"/>
          <w:sz w:val="20"/>
          <w:szCs w:val="20"/>
        </w:rPr>
        <w:t xml:space="preserve">, </w:t>
      </w:r>
      <w:r w:rsidRPr="006C0BD8">
        <w:rPr>
          <w:rFonts w:ascii="Times New Roman" w:eastAsia="Times New Roman" w:hAnsi="Times New Roman" w:cs="Times New Roman"/>
          <w:smallCaps/>
          <w:sz w:val="20"/>
          <w:szCs w:val="20"/>
        </w:rPr>
        <w:t>Kaiser Health News</w:t>
      </w:r>
      <w:r w:rsidRPr="006C0BD8">
        <w:rPr>
          <w:rFonts w:ascii="Times New Roman" w:eastAsia="Times New Roman" w:hAnsi="Times New Roman" w:cs="Times New Roman"/>
          <w:sz w:val="20"/>
          <w:szCs w:val="20"/>
        </w:rPr>
        <w:t xml:space="preserve"> (Nov. 20, 2015), </w:t>
      </w:r>
      <w:hyperlink r:id="rId1" w:history="1">
        <w:r w:rsidRPr="006C0BD8">
          <w:rPr>
            <w:rStyle w:val="Hyperlink"/>
            <w:rFonts w:ascii="Times New Roman" w:eastAsia="Times New Roman" w:hAnsi="Times New Roman" w:cs="Times New Roman"/>
            <w:sz w:val="20"/>
            <w:szCs w:val="20"/>
          </w:rPr>
          <w:t>http://khn.org/news/unitedhealth-warns-of-marketplace-exit-start-of-a-trend-or-push-for-white-houseaction/</w:t>
        </w:r>
      </w:hyperlink>
      <w:r w:rsidRPr="006C0BD8">
        <w:rPr>
          <w:rFonts w:ascii="Times New Roman" w:eastAsia="Times New Roman" w:hAnsi="Times New Roman" w:cs="Times New Roman"/>
          <w:sz w:val="20"/>
          <w:szCs w:val="20"/>
        </w:rPr>
        <w:t xml:space="preserve">; Phil </w:t>
      </w:r>
      <w:proofErr w:type="spellStart"/>
      <w:r w:rsidRPr="006C0BD8">
        <w:rPr>
          <w:rFonts w:ascii="Times New Roman" w:eastAsia="Times New Roman" w:hAnsi="Times New Roman" w:cs="Times New Roman"/>
          <w:sz w:val="20"/>
          <w:szCs w:val="20"/>
        </w:rPr>
        <w:t>Galewitz</w:t>
      </w:r>
      <w:proofErr w:type="spellEnd"/>
      <w:r w:rsidRPr="006C0BD8">
        <w:rPr>
          <w:rFonts w:ascii="Times New Roman" w:eastAsia="Times New Roman" w:hAnsi="Times New Roman" w:cs="Times New Roman"/>
          <w:sz w:val="20"/>
          <w:szCs w:val="20"/>
        </w:rPr>
        <w:t xml:space="preserve">, </w:t>
      </w:r>
      <w:proofErr w:type="spellStart"/>
      <w:r w:rsidRPr="006C0BD8">
        <w:rPr>
          <w:rFonts w:ascii="Times New Roman" w:eastAsia="Times New Roman" w:hAnsi="Times New Roman" w:cs="Times New Roman"/>
          <w:i/>
          <w:sz w:val="20"/>
          <w:szCs w:val="20"/>
        </w:rPr>
        <w:t>UnitedHealthcare</w:t>
      </w:r>
      <w:proofErr w:type="spellEnd"/>
      <w:r w:rsidRPr="006C0BD8">
        <w:rPr>
          <w:rFonts w:ascii="Times New Roman" w:eastAsia="Times New Roman" w:hAnsi="Times New Roman" w:cs="Times New Roman"/>
          <w:i/>
          <w:sz w:val="20"/>
          <w:szCs w:val="20"/>
        </w:rPr>
        <w:t xml:space="preserve"> to Exit All but “Handful” of Obamacare Markets in 2017</w:t>
      </w:r>
      <w:r w:rsidRPr="006C0BD8">
        <w:rPr>
          <w:rFonts w:ascii="Times New Roman" w:eastAsia="Times New Roman" w:hAnsi="Times New Roman" w:cs="Times New Roman"/>
          <w:sz w:val="20"/>
          <w:szCs w:val="20"/>
        </w:rPr>
        <w:t xml:space="preserve">, </w:t>
      </w:r>
      <w:r w:rsidRPr="006C0BD8">
        <w:rPr>
          <w:rFonts w:ascii="Times New Roman" w:eastAsia="Times New Roman" w:hAnsi="Times New Roman" w:cs="Times New Roman"/>
          <w:smallCaps/>
          <w:sz w:val="20"/>
          <w:szCs w:val="20"/>
        </w:rPr>
        <w:t>Kaiser Health News</w:t>
      </w:r>
      <w:r w:rsidRPr="006C0BD8">
        <w:rPr>
          <w:rFonts w:ascii="Times New Roman" w:eastAsia="Times New Roman" w:hAnsi="Times New Roman" w:cs="Times New Roman"/>
          <w:sz w:val="20"/>
          <w:szCs w:val="20"/>
        </w:rPr>
        <w:t>, April 19, 2016, http://khn.org/news/unitedhealthcare-to-exit-all-but-handful-of-obamacare-marketsin-2017/.</w:t>
      </w:r>
    </w:p>
  </w:footnote>
  <w:footnote w:id="24">
    <w:p w14:paraId="5EC9E3C4" w14:textId="77777777" w:rsidR="00AC6748" w:rsidRPr="006C0BD8" w:rsidRDefault="00AC6748" w:rsidP="00AC6748">
      <w:pPr>
        <w:suppressAutoHyphens/>
        <w:rPr>
          <w:rFonts w:ascii="Times New Roman" w:eastAsia="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Matthew </w:t>
      </w:r>
      <w:proofErr w:type="spellStart"/>
      <w:r w:rsidRPr="006C0BD8">
        <w:rPr>
          <w:rFonts w:ascii="Times New Roman" w:hAnsi="Times New Roman" w:cs="Times New Roman"/>
          <w:sz w:val="20"/>
          <w:szCs w:val="20"/>
        </w:rPr>
        <w:t>Eyles</w:t>
      </w:r>
      <w:proofErr w:type="spellEnd"/>
      <w:r w:rsidRPr="006C0BD8">
        <w:rPr>
          <w:rFonts w:ascii="Times New Roman" w:hAnsi="Times New Roman" w:cs="Times New Roman"/>
          <w:sz w:val="20"/>
          <w:szCs w:val="20"/>
        </w:rPr>
        <w:t xml:space="preserve"> &amp; Justine </w:t>
      </w:r>
      <w:proofErr w:type="spellStart"/>
      <w:r w:rsidRPr="006C0BD8">
        <w:rPr>
          <w:rFonts w:ascii="Times New Roman" w:hAnsi="Times New Roman" w:cs="Times New Roman"/>
          <w:sz w:val="20"/>
          <w:szCs w:val="20"/>
        </w:rPr>
        <w:t>Handelman</w:t>
      </w:r>
      <w:proofErr w:type="spellEnd"/>
      <w:r w:rsidRPr="006C0BD8">
        <w:rPr>
          <w:rFonts w:ascii="Times New Roman" w:hAnsi="Times New Roman" w:cs="Times New Roman"/>
          <w:sz w:val="20"/>
          <w:szCs w:val="20"/>
        </w:rPr>
        <w:t xml:space="preserve">, </w:t>
      </w:r>
      <w:r w:rsidRPr="006C0BD8">
        <w:rPr>
          <w:rFonts w:ascii="Times New Roman" w:eastAsia="Times New Roman" w:hAnsi="Times New Roman" w:cs="Times New Roman"/>
          <w:i/>
          <w:iCs/>
          <w:sz w:val="20"/>
          <w:szCs w:val="20"/>
        </w:rPr>
        <w:t>Appropriate Use of Special Enrollment Periods Is Key to Exchange Stability, Affordability for Consumers: Misused Special Enrollment Periods Impact All Consumers through Higher Cost</w:t>
      </w:r>
      <w:r w:rsidRPr="006C0BD8">
        <w:rPr>
          <w:rFonts w:ascii="Times New Roman" w:eastAsia="Times New Roman" w:hAnsi="Times New Roman" w:cs="Times New Roman"/>
          <w:sz w:val="20"/>
          <w:szCs w:val="20"/>
        </w:rPr>
        <w:t xml:space="preserve"> (February, 2016), https://www.ahip.org/wp-content/uploads/2016/03/AHIP-BCBSA-SEP-Analysis-Feb16.pdf. </w:t>
      </w:r>
    </w:p>
  </w:footnote>
  <w:footnote w:id="25">
    <w:p w14:paraId="0233B4B1"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Market Stabilization Final Rule, 82 Fed.</w:t>
      </w:r>
      <w:proofErr w:type="gramEnd"/>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Reg. at 18,346, 18,355-56.</w:t>
      </w:r>
      <w:proofErr w:type="gramEnd"/>
    </w:p>
  </w:footnote>
  <w:footnote w:id="26">
    <w:p w14:paraId="14A79FA7"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at 18,358.</w:t>
      </w:r>
      <w:proofErr w:type="gramEnd"/>
    </w:p>
  </w:footnote>
  <w:footnote w:id="27">
    <w:p w14:paraId="7DA489BB"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at 18,358-59.</w:t>
      </w:r>
      <w:proofErr w:type="gramEnd"/>
    </w:p>
  </w:footnote>
  <w:footnote w:id="28">
    <w:p w14:paraId="2C44C764"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at 18,362-63.</w:t>
      </w:r>
      <w:proofErr w:type="gramEnd"/>
    </w:p>
  </w:footnote>
  <w:footnote w:id="29">
    <w:p w14:paraId="65A215ED"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at 18,358-65.</w:t>
      </w:r>
      <w:proofErr w:type="gramEnd"/>
    </w:p>
  </w:footnote>
  <w:footnote w:id="30">
    <w:p w14:paraId="163013B2" w14:textId="77777777" w:rsidR="00AC6748" w:rsidRPr="006C0BD8" w:rsidRDefault="00AC6748" w:rsidP="00AC6748">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xml:space="preserve"> at 18,378.</w:t>
      </w:r>
      <w:proofErr w:type="gramEnd"/>
    </w:p>
  </w:footnote>
  <w:footnote w:id="31">
    <w:p w14:paraId="26A8562A" w14:textId="0C2B5BF8" w:rsidR="00C82FE6" w:rsidRPr="006C0BD8" w:rsidRDefault="00C82FE6" w:rsidP="00C82FE6">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Aetna,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 5; Anthem,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 4; BlueCross Blue Shield,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1-3; </w:t>
      </w:r>
      <w:proofErr w:type="spellStart"/>
      <w:r w:rsidRPr="006C0BD8">
        <w:rPr>
          <w:rFonts w:ascii="Times New Roman" w:hAnsi="Times New Roman" w:cs="Times New Roman"/>
          <w:sz w:val="20"/>
          <w:szCs w:val="20"/>
        </w:rPr>
        <w:t>Centene</w:t>
      </w:r>
      <w:proofErr w:type="spellEnd"/>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 Cigna, </w:t>
      </w:r>
      <w:r w:rsidRPr="006C0BD8">
        <w:rPr>
          <w:rFonts w:ascii="Times New Roman" w:hAnsi="Times New Roman" w:cs="Times New Roman"/>
          <w:i/>
          <w:sz w:val="20"/>
          <w:szCs w:val="20"/>
        </w:rPr>
        <w:t xml:space="preserve">supra </w:t>
      </w:r>
      <w:r w:rsidRPr="006C0BD8">
        <w:rPr>
          <w:rFonts w:ascii="Times New Roman" w:hAnsi="Times New Roman" w:cs="Times New Roman"/>
          <w:sz w:val="20"/>
          <w:szCs w:val="20"/>
        </w:rPr>
        <w:t xml:space="preserve">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2-3. </w:t>
      </w:r>
    </w:p>
  </w:footnote>
  <w:footnote w:id="32">
    <w:p w14:paraId="3434B0E0" w14:textId="7673E42D" w:rsidR="00C82FE6" w:rsidRPr="006C0BD8" w:rsidRDefault="00C82FE6" w:rsidP="00C82FE6">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Anthem, </w:t>
      </w:r>
      <w:r w:rsidRPr="006C0BD8">
        <w:rPr>
          <w:rFonts w:ascii="Times New Roman" w:hAnsi="Times New Roman" w:cs="Times New Roman"/>
          <w:i/>
          <w:sz w:val="20"/>
          <w:szCs w:val="20"/>
        </w:rPr>
        <w:t xml:space="preserve">supra </w:t>
      </w:r>
      <w:r w:rsidRPr="006C0BD8">
        <w:rPr>
          <w:rFonts w:ascii="Times New Roman" w:hAnsi="Times New Roman" w:cs="Times New Roman"/>
          <w:sz w:val="20"/>
          <w:szCs w:val="20"/>
        </w:rPr>
        <w:t xml:space="preserve">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2</w:t>
      </w:r>
    </w:p>
  </w:footnote>
  <w:footnote w:id="33">
    <w:p w14:paraId="22FE41AE" w14:textId="77777777" w:rsidR="00C82FE6" w:rsidRPr="006C0BD8" w:rsidRDefault="00C82FE6" w:rsidP="00C82FE6">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 xml:space="preserve">Id. </w:t>
      </w:r>
      <w:r w:rsidRPr="006C0BD8">
        <w:rPr>
          <w:rFonts w:ascii="Times New Roman" w:hAnsi="Times New Roman" w:cs="Times New Roman"/>
          <w:sz w:val="20"/>
          <w:szCs w:val="20"/>
        </w:rPr>
        <w:t>at 2.</w:t>
      </w:r>
      <w:proofErr w:type="gramEnd"/>
    </w:p>
  </w:footnote>
  <w:footnote w:id="34">
    <w:p w14:paraId="0F2A8170" w14:textId="77777777" w:rsidR="00C82FE6" w:rsidRPr="006C0BD8" w:rsidRDefault="00C82FE6" w:rsidP="00C82FE6">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i/>
          <w:sz w:val="20"/>
          <w:szCs w:val="20"/>
        </w:rPr>
        <w:t>Id.</w:t>
      </w:r>
      <w:r w:rsidRPr="006C0BD8">
        <w:rPr>
          <w:rFonts w:ascii="Times New Roman" w:hAnsi="Times New Roman" w:cs="Times New Roman"/>
          <w:sz w:val="20"/>
          <w:szCs w:val="20"/>
        </w:rPr>
        <w:t xml:space="preserve"> at 3.</w:t>
      </w:r>
      <w:proofErr w:type="gramEnd"/>
    </w:p>
  </w:footnote>
  <w:footnote w:id="35">
    <w:p w14:paraId="5D37F8A7" w14:textId="57057D32" w:rsidR="00C82FE6" w:rsidRPr="006C0BD8" w:rsidRDefault="00C82FE6" w:rsidP="00C82FE6">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BlueCross Blue Shield,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1-3</w:t>
      </w:r>
      <w:r w:rsidR="00167522" w:rsidRPr="006C0BD8">
        <w:rPr>
          <w:rFonts w:ascii="Times New Roman" w:hAnsi="Times New Roman" w:cs="Times New Roman"/>
          <w:sz w:val="20"/>
          <w:szCs w:val="20"/>
        </w:rPr>
        <w:t>.</w:t>
      </w:r>
    </w:p>
  </w:footnote>
  <w:footnote w:id="36">
    <w:p w14:paraId="4A3007AE" w14:textId="77777777" w:rsidR="00237AC4" w:rsidRPr="006C0BD8" w:rsidRDefault="00237AC4" w:rsidP="00237AC4">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42 U.S.C. § 18022(d).</w:t>
      </w:r>
      <w:proofErr w:type="gramEnd"/>
    </w:p>
  </w:footnote>
  <w:footnote w:id="37">
    <w:p w14:paraId="1BE5F9AF" w14:textId="77777777" w:rsidR="00FE3D2C" w:rsidRPr="006C0BD8" w:rsidRDefault="00FE3D2C" w:rsidP="00FE3D2C">
      <w:pPr>
        <w:pStyle w:val="FootnoteText"/>
        <w:suppressAutoHyphens/>
        <w:rPr>
          <w:rFonts w:ascii="Times New Roman" w:hAnsi="Times New Roman" w:cs="Times New Roman"/>
          <w:i/>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Id.</w:t>
      </w:r>
    </w:p>
  </w:footnote>
  <w:footnote w:id="38">
    <w:p w14:paraId="60A866EB" w14:textId="77777777" w:rsidR="00FE3D2C" w:rsidRPr="006C0BD8" w:rsidRDefault="00FE3D2C" w:rsidP="00FE3D2C">
      <w:pPr>
        <w:pStyle w:val="FootnoteText"/>
        <w:suppressAutoHyphens/>
        <w:rPr>
          <w:rFonts w:ascii="Times New Roman" w:hAnsi="Times New Roman" w:cs="Times New Roman"/>
          <w:i/>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Market Stabilization Proposed Rule, 82 Fed. </w:t>
      </w:r>
      <w:proofErr w:type="gramStart"/>
      <w:r w:rsidRPr="006C0BD8">
        <w:rPr>
          <w:rFonts w:ascii="Times New Roman" w:hAnsi="Times New Roman" w:cs="Times New Roman"/>
          <w:sz w:val="20"/>
          <w:szCs w:val="20"/>
        </w:rPr>
        <w:t>Reg. at 10,989.</w:t>
      </w:r>
      <w:proofErr w:type="gramEnd"/>
    </w:p>
  </w:footnote>
  <w:footnote w:id="39">
    <w:p w14:paraId="378135FD" w14:textId="77777777"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Id.</w:t>
      </w:r>
    </w:p>
  </w:footnote>
  <w:footnote w:id="40">
    <w:p w14:paraId="730104F9" w14:textId="77777777" w:rsidR="00FE3D2C" w:rsidRPr="006C0BD8" w:rsidRDefault="00FE3D2C" w:rsidP="00FE3D2C">
      <w:pPr>
        <w:pStyle w:val="FootnoteText"/>
        <w:suppressAutoHyphens/>
        <w:rPr>
          <w:rFonts w:ascii="Times New Roman" w:hAnsi="Times New Roman" w:cs="Times New Roman"/>
          <w:i/>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Market Stabilization Final Rule, 82 Fed.</w:t>
      </w:r>
      <w:proofErr w:type="gramEnd"/>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Reg. at 18,369-71; 45 C.F.R. § 156.140(c).</w:t>
      </w:r>
      <w:proofErr w:type="gramEnd"/>
    </w:p>
  </w:footnote>
  <w:footnote w:id="41">
    <w:p w14:paraId="0928AB0A" w14:textId="77777777" w:rsidR="00FE3D2C" w:rsidRPr="006C0BD8" w:rsidRDefault="00FE3D2C" w:rsidP="00FE3D2C">
      <w:pPr>
        <w:pStyle w:val="FootnoteText"/>
        <w:suppressAutoHyphens/>
        <w:rPr>
          <w:rFonts w:ascii="Times New Roman" w:hAnsi="Times New Roman" w:cs="Times New Roman"/>
          <w:i/>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Market Stabilization Final Rule, 82 Fed.</w:t>
      </w:r>
      <w:proofErr w:type="gramEnd"/>
      <w:r w:rsidRPr="006C0BD8">
        <w:rPr>
          <w:rFonts w:ascii="Times New Roman" w:hAnsi="Times New Roman" w:cs="Times New Roman"/>
          <w:sz w:val="20"/>
          <w:szCs w:val="20"/>
        </w:rPr>
        <w:t xml:space="preserve"> </w:t>
      </w:r>
      <w:proofErr w:type="gramStart"/>
      <w:r w:rsidRPr="006C0BD8">
        <w:rPr>
          <w:rFonts w:ascii="Times New Roman" w:hAnsi="Times New Roman" w:cs="Times New Roman"/>
          <w:sz w:val="20"/>
          <w:szCs w:val="20"/>
        </w:rPr>
        <w:t>Reg. at 18,369.</w:t>
      </w:r>
      <w:proofErr w:type="gramEnd"/>
    </w:p>
  </w:footnote>
  <w:footnote w:id="42">
    <w:p w14:paraId="7836455E" w14:textId="5421B134"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Aetna,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 6; Anthem,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10, 4; BlueCross Blue Shield,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 </w:t>
      </w:r>
      <w:proofErr w:type="spellStart"/>
      <w:r w:rsidRPr="006C0BD8">
        <w:rPr>
          <w:rFonts w:ascii="Times New Roman" w:hAnsi="Times New Roman" w:cs="Times New Roman"/>
          <w:sz w:val="20"/>
          <w:szCs w:val="20"/>
        </w:rPr>
        <w:t>Centene</w:t>
      </w:r>
      <w:proofErr w:type="spellEnd"/>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3-4; Cigna, </w:t>
      </w:r>
      <w:r w:rsidRPr="006C0BD8">
        <w:rPr>
          <w:rFonts w:ascii="Times New Roman" w:hAnsi="Times New Roman" w:cs="Times New Roman"/>
          <w:i/>
          <w:sz w:val="20"/>
          <w:szCs w:val="20"/>
        </w:rPr>
        <w:t xml:space="preserve">supra </w:t>
      </w:r>
      <w:r w:rsidRPr="006C0BD8">
        <w:rPr>
          <w:rFonts w:ascii="Times New Roman" w:hAnsi="Times New Roman" w:cs="Times New Roman"/>
          <w:sz w:val="20"/>
          <w:szCs w:val="20"/>
        </w:rPr>
        <w:t xml:space="preserve">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 </w:t>
      </w:r>
    </w:p>
  </w:footnote>
  <w:footnote w:id="43">
    <w:p w14:paraId="551023D4" w14:textId="2B97FBFF"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Anthem,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11.</w:t>
      </w:r>
    </w:p>
  </w:footnote>
  <w:footnote w:id="44">
    <w:p w14:paraId="673B5F72" w14:textId="00AB32E4" w:rsidR="00FE3D2C" w:rsidRPr="006C0BD8" w:rsidRDefault="00FE3D2C" w:rsidP="00FE3D2C">
      <w:pPr>
        <w:pStyle w:val="FootnoteText"/>
        <w:suppressAutoHyphens/>
        <w:rPr>
          <w:rFonts w:ascii="Times New Roman" w:hAnsi="Times New Roman" w:cs="Times New Roman"/>
          <w:sz w:val="20"/>
          <w:szCs w:val="20"/>
        </w:rPr>
      </w:pPr>
      <w:r w:rsidRPr="006C0BD8">
        <w:rPr>
          <w:rStyle w:val="FootnoteReference"/>
          <w:rFonts w:ascii="Times New Roman" w:hAnsi="Times New Roman" w:cs="Times New Roman"/>
          <w:sz w:val="20"/>
          <w:szCs w:val="20"/>
        </w:rPr>
        <w:footnoteRef/>
      </w:r>
      <w:r w:rsidRPr="006C0BD8">
        <w:rPr>
          <w:rFonts w:ascii="Times New Roman" w:hAnsi="Times New Roman" w:cs="Times New Roman"/>
          <w:sz w:val="20"/>
          <w:szCs w:val="20"/>
        </w:rPr>
        <w:t xml:space="preserve"> </w:t>
      </w:r>
      <w:proofErr w:type="spellStart"/>
      <w:r w:rsidRPr="006C0BD8">
        <w:rPr>
          <w:rFonts w:ascii="Times New Roman" w:hAnsi="Times New Roman" w:cs="Times New Roman"/>
          <w:sz w:val="20"/>
          <w:szCs w:val="20"/>
        </w:rPr>
        <w:t>Centene</w:t>
      </w:r>
      <w:proofErr w:type="spellEnd"/>
      <w:r w:rsidRPr="006C0BD8">
        <w:rPr>
          <w:rFonts w:ascii="Times New Roman" w:hAnsi="Times New Roman" w:cs="Times New Roman"/>
          <w:sz w:val="20"/>
          <w:szCs w:val="20"/>
        </w:rPr>
        <w:t xml:space="preserve">, </w:t>
      </w:r>
      <w:r w:rsidRPr="006C0BD8">
        <w:rPr>
          <w:rFonts w:ascii="Times New Roman" w:hAnsi="Times New Roman" w:cs="Times New Roman"/>
          <w:i/>
          <w:sz w:val="20"/>
          <w:szCs w:val="20"/>
        </w:rPr>
        <w:t>supra</w:t>
      </w:r>
      <w:r w:rsidRPr="006C0BD8">
        <w:rPr>
          <w:rFonts w:ascii="Times New Roman" w:hAnsi="Times New Roman" w:cs="Times New Roman"/>
          <w:sz w:val="20"/>
          <w:szCs w:val="20"/>
        </w:rPr>
        <w:t xml:space="preserve"> note </w:t>
      </w:r>
      <w:r w:rsidR="00167522" w:rsidRPr="006C0BD8">
        <w:rPr>
          <w:rFonts w:ascii="Times New Roman" w:hAnsi="Times New Roman" w:cs="Times New Roman"/>
          <w:sz w:val="20"/>
          <w:szCs w:val="20"/>
        </w:rPr>
        <w:fldChar w:fldCharType="begin"/>
      </w:r>
      <w:r w:rsidR="00167522" w:rsidRPr="006C0BD8">
        <w:rPr>
          <w:rFonts w:ascii="Times New Roman" w:hAnsi="Times New Roman" w:cs="Times New Roman"/>
          <w:sz w:val="20"/>
          <w:szCs w:val="20"/>
        </w:rPr>
        <w:instrText xml:space="preserve"> NOTEREF _Ref493843066 \h </w:instrText>
      </w:r>
      <w:r w:rsidR="006C0BD8" w:rsidRPr="006C0BD8">
        <w:rPr>
          <w:rFonts w:ascii="Times New Roman" w:hAnsi="Times New Roman" w:cs="Times New Roman"/>
          <w:sz w:val="20"/>
          <w:szCs w:val="20"/>
        </w:rPr>
        <w:instrText xml:space="preserve"> \* MERGEFORMAT </w:instrText>
      </w:r>
      <w:r w:rsidR="00167522" w:rsidRPr="006C0BD8">
        <w:rPr>
          <w:rFonts w:ascii="Times New Roman" w:hAnsi="Times New Roman" w:cs="Times New Roman"/>
          <w:sz w:val="20"/>
          <w:szCs w:val="20"/>
        </w:rPr>
      </w:r>
      <w:r w:rsidR="00167522" w:rsidRPr="006C0BD8">
        <w:rPr>
          <w:rFonts w:ascii="Times New Roman" w:hAnsi="Times New Roman" w:cs="Times New Roman"/>
          <w:sz w:val="20"/>
          <w:szCs w:val="20"/>
        </w:rPr>
        <w:fldChar w:fldCharType="separate"/>
      </w:r>
      <w:r w:rsidR="00DF414D">
        <w:rPr>
          <w:rFonts w:ascii="Times New Roman" w:hAnsi="Times New Roman" w:cs="Times New Roman"/>
          <w:sz w:val="20"/>
          <w:szCs w:val="20"/>
        </w:rPr>
        <w:t>10</w:t>
      </w:r>
      <w:r w:rsidR="00167522" w:rsidRPr="006C0BD8">
        <w:rPr>
          <w:rFonts w:ascii="Times New Roman" w:hAnsi="Times New Roman" w:cs="Times New Roman"/>
          <w:sz w:val="20"/>
          <w:szCs w:val="20"/>
        </w:rPr>
        <w:fldChar w:fldCharType="end"/>
      </w:r>
      <w:r w:rsidRPr="006C0BD8">
        <w:rPr>
          <w:rFonts w:ascii="Times New Roman" w:hAnsi="Times New Roman" w:cs="Times New Roman"/>
          <w:sz w:val="20"/>
          <w:szCs w:val="20"/>
        </w:rPr>
        <w:t xml:space="preserve"> at 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08F7"/>
    <w:multiLevelType w:val="hybridMultilevel"/>
    <w:tmpl w:val="B8C62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17131"/>
    <w:multiLevelType w:val="hybridMultilevel"/>
    <w:tmpl w:val="F20E8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C5BCAA6-B95A-4B9D-B6CC-64DCC7CFD812}"/>
  </w:docVars>
  <w:rsids>
    <w:rsidRoot w:val="00A76C75"/>
    <w:rsid w:val="00003910"/>
    <w:rsid w:val="00012C84"/>
    <w:rsid w:val="00020C8A"/>
    <w:rsid w:val="00047FDC"/>
    <w:rsid w:val="0007042D"/>
    <w:rsid w:val="0007546D"/>
    <w:rsid w:val="000967A3"/>
    <w:rsid w:val="00123D99"/>
    <w:rsid w:val="00124ED6"/>
    <w:rsid w:val="00127399"/>
    <w:rsid w:val="00167522"/>
    <w:rsid w:val="00170CCB"/>
    <w:rsid w:val="001820A7"/>
    <w:rsid w:val="001C5DE2"/>
    <w:rsid w:val="001E4A76"/>
    <w:rsid w:val="00201555"/>
    <w:rsid w:val="0021677C"/>
    <w:rsid w:val="00237AC4"/>
    <w:rsid w:val="00253C5A"/>
    <w:rsid w:val="00253E02"/>
    <w:rsid w:val="002B0848"/>
    <w:rsid w:val="00322EA3"/>
    <w:rsid w:val="00323FCE"/>
    <w:rsid w:val="003374AB"/>
    <w:rsid w:val="00371B92"/>
    <w:rsid w:val="00372D24"/>
    <w:rsid w:val="00374AB3"/>
    <w:rsid w:val="004231DD"/>
    <w:rsid w:val="00427D24"/>
    <w:rsid w:val="00471865"/>
    <w:rsid w:val="004B1FB2"/>
    <w:rsid w:val="004E3B5D"/>
    <w:rsid w:val="005552FC"/>
    <w:rsid w:val="005634AC"/>
    <w:rsid w:val="005734DB"/>
    <w:rsid w:val="005865E3"/>
    <w:rsid w:val="00594BAA"/>
    <w:rsid w:val="005A356B"/>
    <w:rsid w:val="005A41FA"/>
    <w:rsid w:val="005D4AA7"/>
    <w:rsid w:val="00642156"/>
    <w:rsid w:val="006515F2"/>
    <w:rsid w:val="006C0BD8"/>
    <w:rsid w:val="006C6E6A"/>
    <w:rsid w:val="006D703E"/>
    <w:rsid w:val="006F03FF"/>
    <w:rsid w:val="006F3311"/>
    <w:rsid w:val="00722EA5"/>
    <w:rsid w:val="007E02D4"/>
    <w:rsid w:val="007F16C7"/>
    <w:rsid w:val="007F2826"/>
    <w:rsid w:val="007F2AC2"/>
    <w:rsid w:val="0083716D"/>
    <w:rsid w:val="00851C4A"/>
    <w:rsid w:val="008713FD"/>
    <w:rsid w:val="00873A50"/>
    <w:rsid w:val="00881359"/>
    <w:rsid w:val="008F01EE"/>
    <w:rsid w:val="00906A04"/>
    <w:rsid w:val="009304F7"/>
    <w:rsid w:val="00973E05"/>
    <w:rsid w:val="009876D5"/>
    <w:rsid w:val="009A2781"/>
    <w:rsid w:val="009A6189"/>
    <w:rsid w:val="00A362BF"/>
    <w:rsid w:val="00A3752B"/>
    <w:rsid w:val="00A759CE"/>
    <w:rsid w:val="00A76C75"/>
    <w:rsid w:val="00AA55B1"/>
    <w:rsid w:val="00AB1A16"/>
    <w:rsid w:val="00AC0E86"/>
    <w:rsid w:val="00AC6748"/>
    <w:rsid w:val="00AF021F"/>
    <w:rsid w:val="00B01C5A"/>
    <w:rsid w:val="00B16B7B"/>
    <w:rsid w:val="00B30BD8"/>
    <w:rsid w:val="00B35684"/>
    <w:rsid w:val="00B66A6F"/>
    <w:rsid w:val="00B9765E"/>
    <w:rsid w:val="00BA060F"/>
    <w:rsid w:val="00BA0685"/>
    <w:rsid w:val="00BB1B92"/>
    <w:rsid w:val="00BF7E91"/>
    <w:rsid w:val="00C06DC5"/>
    <w:rsid w:val="00C631F8"/>
    <w:rsid w:val="00C82FE6"/>
    <w:rsid w:val="00C9717E"/>
    <w:rsid w:val="00CA4937"/>
    <w:rsid w:val="00CC328A"/>
    <w:rsid w:val="00CF3A99"/>
    <w:rsid w:val="00D00161"/>
    <w:rsid w:val="00D03B54"/>
    <w:rsid w:val="00D1648E"/>
    <w:rsid w:val="00D2490E"/>
    <w:rsid w:val="00DC354E"/>
    <w:rsid w:val="00DF414D"/>
    <w:rsid w:val="00E067EE"/>
    <w:rsid w:val="00E14012"/>
    <w:rsid w:val="00E169A1"/>
    <w:rsid w:val="00E248CE"/>
    <w:rsid w:val="00E46FA4"/>
    <w:rsid w:val="00E565D1"/>
    <w:rsid w:val="00E61CDA"/>
    <w:rsid w:val="00E77E0B"/>
    <w:rsid w:val="00E8176B"/>
    <w:rsid w:val="00EA4901"/>
    <w:rsid w:val="00EB683D"/>
    <w:rsid w:val="00EE53BA"/>
    <w:rsid w:val="00F13E47"/>
    <w:rsid w:val="00F45F1E"/>
    <w:rsid w:val="00F56611"/>
    <w:rsid w:val="00F82697"/>
    <w:rsid w:val="00F979DA"/>
    <w:rsid w:val="00FA097B"/>
    <w:rsid w:val="00FA7C09"/>
    <w:rsid w:val="00FE009C"/>
    <w:rsid w:val="00FE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D9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683D"/>
  </w:style>
  <w:style w:type="character" w:customStyle="1" w:styleId="FootnoteTextChar">
    <w:name w:val="Footnote Text Char"/>
    <w:basedOn w:val="DefaultParagraphFont"/>
    <w:link w:val="FootnoteText"/>
    <w:uiPriority w:val="99"/>
    <w:rsid w:val="00EB683D"/>
  </w:style>
  <w:style w:type="character" w:styleId="FootnoteReference">
    <w:name w:val="footnote reference"/>
    <w:basedOn w:val="DefaultParagraphFont"/>
    <w:uiPriority w:val="99"/>
    <w:unhideWhenUsed/>
    <w:rsid w:val="00EB683D"/>
    <w:rPr>
      <w:vertAlign w:val="superscript"/>
    </w:rPr>
  </w:style>
  <w:style w:type="paragraph" w:customStyle="1" w:styleId="Default">
    <w:name w:val="Default"/>
    <w:rsid w:val="00EB683D"/>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8713FD"/>
    <w:pPr>
      <w:ind w:left="720"/>
      <w:contextualSpacing/>
    </w:pPr>
  </w:style>
  <w:style w:type="character" w:styleId="Hyperlink">
    <w:name w:val="Hyperlink"/>
    <w:basedOn w:val="DefaultParagraphFont"/>
    <w:uiPriority w:val="99"/>
    <w:unhideWhenUsed/>
    <w:rsid w:val="008713FD"/>
    <w:rPr>
      <w:color w:val="0000FF" w:themeColor="hyperlink"/>
      <w:u w:val="single"/>
    </w:rPr>
  </w:style>
  <w:style w:type="paragraph" w:styleId="BalloonText">
    <w:name w:val="Balloon Text"/>
    <w:basedOn w:val="Normal"/>
    <w:link w:val="BalloonTextChar"/>
    <w:uiPriority w:val="99"/>
    <w:semiHidden/>
    <w:unhideWhenUsed/>
    <w:rsid w:val="00127399"/>
    <w:rPr>
      <w:rFonts w:ascii="Tahoma" w:hAnsi="Tahoma" w:cs="Tahoma"/>
      <w:sz w:val="16"/>
      <w:szCs w:val="16"/>
    </w:rPr>
  </w:style>
  <w:style w:type="character" w:customStyle="1" w:styleId="BalloonTextChar">
    <w:name w:val="Balloon Text Char"/>
    <w:basedOn w:val="DefaultParagraphFont"/>
    <w:link w:val="BalloonText"/>
    <w:uiPriority w:val="99"/>
    <w:semiHidden/>
    <w:rsid w:val="00127399"/>
    <w:rPr>
      <w:rFonts w:ascii="Tahoma" w:hAnsi="Tahoma" w:cs="Tahoma"/>
      <w:sz w:val="16"/>
      <w:szCs w:val="16"/>
    </w:rPr>
  </w:style>
  <w:style w:type="paragraph" w:styleId="Header">
    <w:name w:val="header"/>
    <w:basedOn w:val="Normal"/>
    <w:link w:val="HeaderChar"/>
    <w:uiPriority w:val="99"/>
    <w:unhideWhenUsed/>
    <w:rsid w:val="00DF414D"/>
    <w:pPr>
      <w:tabs>
        <w:tab w:val="center" w:pos="4680"/>
        <w:tab w:val="right" w:pos="9360"/>
      </w:tabs>
    </w:pPr>
  </w:style>
  <w:style w:type="character" w:customStyle="1" w:styleId="HeaderChar">
    <w:name w:val="Header Char"/>
    <w:basedOn w:val="DefaultParagraphFont"/>
    <w:link w:val="Header"/>
    <w:uiPriority w:val="99"/>
    <w:rsid w:val="00DF414D"/>
  </w:style>
  <w:style w:type="paragraph" w:styleId="Footer">
    <w:name w:val="footer"/>
    <w:basedOn w:val="Normal"/>
    <w:link w:val="FooterChar"/>
    <w:uiPriority w:val="99"/>
    <w:unhideWhenUsed/>
    <w:rsid w:val="00DF414D"/>
    <w:pPr>
      <w:tabs>
        <w:tab w:val="center" w:pos="4680"/>
        <w:tab w:val="right" w:pos="9360"/>
      </w:tabs>
    </w:pPr>
  </w:style>
  <w:style w:type="character" w:customStyle="1" w:styleId="FooterChar">
    <w:name w:val="Footer Char"/>
    <w:basedOn w:val="DefaultParagraphFont"/>
    <w:link w:val="Footer"/>
    <w:uiPriority w:val="99"/>
    <w:rsid w:val="00DF414D"/>
  </w:style>
  <w:style w:type="table" w:styleId="TableGrid">
    <w:name w:val="Table Grid"/>
    <w:basedOn w:val="TableNormal"/>
    <w:uiPriority w:val="59"/>
    <w:rsid w:val="00471865"/>
    <w:rPr>
      <w:rFonts w:ascii="Palatino" w:hAnsi="Palatin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683D"/>
  </w:style>
  <w:style w:type="character" w:customStyle="1" w:styleId="FootnoteTextChar">
    <w:name w:val="Footnote Text Char"/>
    <w:basedOn w:val="DefaultParagraphFont"/>
    <w:link w:val="FootnoteText"/>
    <w:uiPriority w:val="99"/>
    <w:rsid w:val="00EB683D"/>
  </w:style>
  <w:style w:type="character" w:styleId="FootnoteReference">
    <w:name w:val="footnote reference"/>
    <w:basedOn w:val="DefaultParagraphFont"/>
    <w:uiPriority w:val="99"/>
    <w:unhideWhenUsed/>
    <w:rsid w:val="00EB683D"/>
    <w:rPr>
      <w:vertAlign w:val="superscript"/>
    </w:rPr>
  </w:style>
  <w:style w:type="paragraph" w:customStyle="1" w:styleId="Default">
    <w:name w:val="Default"/>
    <w:rsid w:val="00EB683D"/>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8713FD"/>
    <w:pPr>
      <w:ind w:left="720"/>
      <w:contextualSpacing/>
    </w:pPr>
  </w:style>
  <w:style w:type="character" w:styleId="Hyperlink">
    <w:name w:val="Hyperlink"/>
    <w:basedOn w:val="DefaultParagraphFont"/>
    <w:uiPriority w:val="99"/>
    <w:unhideWhenUsed/>
    <w:rsid w:val="008713FD"/>
    <w:rPr>
      <w:color w:val="0000FF" w:themeColor="hyperlink"/>
      <w:u w:val="single"/>
    </w:rPr>
  </w:style>
  <w:style w:type="paragraph" w:styleId="BalloonText">
    <w:name w:val="Balloon Text"/>
    <w:basedOn w:val="Normal"/>
    <w:link w:val="BalloonTextChar"/>
    <w:uiPriority w:val="99"/>
    <w:semiHidden/>
    <w:unhideWhenUsed/>
    <w:rsid w:val="00127399"/>
    <w:rPr>
      <w:rFonts w:ascii="Tahoma" w:hAnsi="Tahoma" w:cs="Tahoma"/>
      <w:sz w:val="16"/>
      <w:szCs w:val="16"/>
    </w:rPr>
  </w:style>
  <w:style w:type="character" w:customStyle="1" w:styleId="BalloonTextChar">
    <w:name w:val="Balloon Text Char"/>
    <w:basedOn w:val="DefaultParagraphFont"/>
    <w:link w:val="BalloonText"/>
    <w:uiPriority w:val="99"/>
    <w:semiHidden/>
    <w:rsid w:val="00127399"/>
    <w:rPr>
      <w:rFonts w:ascii="Tahoma" w:hAnsi="Tahoma" w:cs="Tahoma"/>
      <w:sz w:val="16"/>
      <w:szCs w:val="16"/>
    </w:rPr>
  </w:style>
  <w:style w:type="paragraph" w:styleId="Header">
    <w:name w:val="header"/>
    <w:basedOn w:val="Normal"/>
    <w:link w:val="HeaderChar"/>
    <w:uiPriority w:val="99"/>
    <w:unhideWhenUsed/>
    <w:rsid w:val="00DF414D"/>
    <w:pPr>
      <w:tabs>
        <w:tab w:val="center" w:pos="4680"/>
        <w:tab w:val="right" w:pos="9360"/>
      </w:tabs>
    </w:pPr>
  </w:style>
  <w:style w:type="character" w:customStyle="1" w:styleId="HeaderChar">
    <w:name w:val="Header Char"/>
    <w:basedOn w:val="DefaultParagraphFont"/>
    <w:link w:val="Header"/>
    <w:uiPriority w:val="99"/>
    <w:rsid w:val="00DF414D"/>
  </w:style>
  <w:style w:type="paragraph" w:styleId="Footer">
    <w:name w:val="footer"/>
    <w:basedOn w:val="Normal"/>
    <w:link w:val="FooterChar"/>
    <w:uiPriority w:val="99"/>
    <w:unhideWhenUsed/>
    <w:rsid w:val="00DF414D"/>
    <w:pPr>
      <w:tabs>
        <w:tab w:val="center" w:pos="4680"/>
        <w:tab w:val="right" w:pos="9360"/>
      </w:tabs>
    </w:pPr>
  </w:style>
  <w:style w:type="character" w:customStyle="1" w:styleId="FooterChar">
    <w:name w:val="Footer Char"/>
    <w:basedOn w:val="DefaultParagraphFont"/>
    <w:link w:val="Footer"/>
    <w:uiPriority w:val="99"/>
    <w:rsid w:val="00DF414D"/>
  </w:style>
  <w:style w:type="table" w:styleId="TableGrid">
    <w:name w:val="Table Grid"/>
    <w:basedOn w:val="TableNormal"/>
    <w:uiPriority w:val="59"/>
    <w:rsid w:val="00471865"/>
    <w:rPr>
      <w:rFonts w:ascii="Palatino" w:hAnsi="Palatin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hn.org/news/unitedhealth-warns-of-marketplace-exit-start-of-a-trend-or-push-for-white-hous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11F4-461C-0043-A725-05112C7A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14671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mizzou</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Callahan</dc:creator>
  <cp:lastModifiedBy>Cara Spencer</cp:lastModifiedBy>
  <cp:revision>3</cp:revision>
  <cp:lastPrinted>2017-09-22T19:02:00Z</cp:lastPrinted>
  <dcterms:created xsi:type="dcterms:W3CDTF">2017-09-25T19:40:00Z</dcterms:created>
  <dcterms:modified xsi:type="dcterms:W3CDTF">2017-09-25T19:44:00Z</dcterms:modified>
</cp:coreProperties>
</file>